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insideV w:val="single" w:sz="4" w:space="0" w:color="auto"/>
        </w:tblBorders>
        <w:tblLayout w:type="fixed"/>
        <w:tblLook w:val="0000" w:firstRow="0" w:lastRow="0" w:firstColumn="0" w:lastColumn="0" w:noHBand="0" w:noVBand="0"/>
      </w:tblPr>
      <w:tblGrid>
        <w:gridCol w:w="4536"/>
        <w:gridCol w:w="4536"/>
      </w:tblGrid>
      <w:tr w:rsidR="00805EC3" w:rsidRPr="00071EA1">
        <w:tc>
          <w:tcPr>
            <w:tcW w:w="4536" w:type="dxa"/>
          </w:tcPr>
          <w:p w:rsidR="00805EC3" w:rsidRPr="00071EA1" w:rsidRDefault="00805EC3" w:rsidP="00854DB6">
            <w:pPr>
              <w:pStyle w:val="PlainText"/>
              <w:spacing w:before="120" w:after="120"/>
              <w:jc w:val="center"/>
              <w:rPr>
                <w:rFonts w:ascii="Calibri" w:hAnsi="Calibri"/>
                <w:b/>
                <w:sz w:val="22"/>
                <w:szCs w:val="22"/>
                <w:lang w:val="nl-BE"/>
              </w:rPr>
            </w:pPr>
            <w:bookmarkStart w:id="0" w:name="_GoBack"/>
            <w:bookmarkEnd w:id="0"/>
            <w:r w:rsidRPr="00071EA1">
              <w:rPr>
                <w:rFonts w:ascii="Calibri" w:hAnsi="Calibri"/>
                <w:b/>
                <w:sz w:val="22"/>
                <w:szCs w:val="22"/>
                <w:lang w:val="nl-BE"/>
              </w:rPr>
              <w:t>PARITAIR COMITE VOOR DE HANDEL IN VOEDINGSWAREN</w:t>
            </w:r>
          </w:p>
        </w:tc>
        <w:tc>
          <w:tcPr>
            <w:tcW w:w="4536" w:type="dxa"/>
          </w:tcPr>
          <w:p w:rsidR="00805EC3" w:rsidRPr="00071EA1" w:rsidRDefault="00805EC3" w:rsidP="00854DB6">
            <w:pPr>
              <w:pStyle w:val="Heading5"/>
              <w:keepNext w:val="0"/>
              <w:spacing w:before="120" w:after="120"/>
              <w:jc w:val="center"/>
              <w:rPr>
                <w:rFonts w:ascii="Calibri" w:hAnsi="Calibri"/>
                <w:sz w:val="22"/>
                <w:szCs w:val="22"/>
                <w:lang w:val="fr-BE"/>
              </w:rPr>
            </w:pPr>
            <w:r w:rsidRPr="00071EA1">
              <w:rPr>
                <w:rFonts w:ascii="Calibri" w:hAnsi="Calibri"/>
                <w:sz w:val="22"/>
                <w:szCs w:val="22"/>
                <w:lang w:val="fr-BE"/>
              </w:rPr>
              <w:t>COMMISSION PARITAIRE DU COMMERCE ALIMENTAIRE</w:t>
            </w:r>
          </w:p>
        </w:tc>
      </w:tr>
      <w:tr w:rsidR="00805EC3" w:rsidRPr="00071EA1">
        <w:tc>
          <w:tcPr>
            <w:tcW w:w="4536" w:type="dxa"/>
            <w:vAlign w:val="center"/>
          </w:tcPr>
          <w:p w:rsidR="00805EC3" w:rsidRPr="00071EA1" w:rsidRDefault="00805EC3" w:rsidP="00854DB6">
            <w:pPr>
              <w:pStyle w:val="PlainText"/>
              <w:spacing w:before="120" w:after="120"/>
              <w:jc w:val="center"/>
              <w:rPr>
                <w:rFonts w:ascii="Calibri" w:hAnsi="Calibri"/>
                <w:b/>
                <w:sz w:val="22"/>
                <w:szCs w:val="22"/>
                <w:lang w:val="nl-BE"/>
              </w:rPr>
            </w:pPr>
            <w:r w:rsidRPr="00071EA1">
              <w:rPr>
                <w:rFonts w:ascii="Calibri" w:hAnsi="Calibri"/>
                <w:b/>
                <w:sz w:val="22"/>
                <w:szCs w:val="22"/>
                <w:lang w:val="nl-BE"/>
              </w:rPr>
              <w:t>PC 119</w:t>
            </w:r>
          </w:p>
        </w:tc>
        <w:tc>
          <w:tcPr>
            <w:tcW w:w="4536" w:type="dxa"/>
            <w:vAlign w:val="center"/>
          </w:tcPr>
          <w:p w:rsidR="00805EC3" w:rsidRPr="00071EA1" w:rsidRDefault="00805EC3" w:rsidP="00854DB6">
            <w:pPr>
              <w:pStyle w:val="PlainText"/>
              <w:spacing w:before="120" w:after="120"/>
              <w:jc w:val="center"/>
              <w:rPr>
                <w:rFonts w:ascii="Calibri" w:hAnsi="Calibri"/>
                <w:b/>
                <w:sz w:val="22"/>
                <w:szCs w:val="22"/>
                <w:lang w:val="fr-BE"/>
              </w:rPr>
            </w:pPr>
            <w:r w:rsidRPr="00071EA1">
              <w:rPr>
                <w:rFonts w:ascii="Calibri" w:hAnsi="Calibri"/>
                <w:b/>
                <w:sz w:val="22"/>
                <w:szCs w:val="22"/>
                <w:lang w:val="fr-BE"/>
              </w:rPr>
              <w:t>CP 119</w:t>
            </w:r>
          </w:p>
        </w:tc>
      </w:tr>
      <w:tr w:rsidR="00805EC3" w:rsidRPr="00035878">
        <w:tc>
          <w:tcPr>
            <w:tcW w:w="4536" w:type="dxa"/>
            <w:vAlign w:val="center"/>
          </w:tcPr>
          <w:p w:rsidR="00805EC3" w:rsidRPr="00071EA1" w:rsidRDefault="00805EC3" w:rsidP="0029233E">
            <w:pPr>
              <w:pStyle w:val="PlainText"/>
              <w:spacing w:before="120" w:after="120"/>
              <w:jc w:val="center"/>
              <w:rPr>
                <w:rFonts w:ascii="Calibri" w:hAnsi="Calibri"/>
                <w:b/>
                <w:sz w:val="22"/>
                <w:szCs w:val="22"/>
                <w:lang w:val="nl-BE"/>
              </w:rPr>
            </w:pPr>
            <w:r w:rsidRPr="00071EA1">
              <w:rPr>
                <w:rFonts w:ascii="Calibri" w:hAnsi="Calibri"/>
                <w:b/>
                <w:sz w:val="22"/>
                <w:szCs w:val="22"/>
                <w:lang w:val="nl-BE"/>
              </w:rPr>
              <w:t>COLLE</w:t>
            </w:r>
            <w:r w:rsidR="00071EA1">
              <w:rPr>
                <w:rFonts w:ascii="Calibri" w:hAnsi="Calibri"/>
                <w:b/>
                <w:sz w:val="22"/>
                <w:szCs w:val="22"/>
                <w:lang w:val="nl-BE"/>
              </w:rPr>
              <w:t>CTIEVE ARBEIDSOVEREENKOMST VAN</w:t>
            </w:r>
            <w:r w:rsidR="00071EA1">
              <w:rPr>
                <w:rFonts w:ascii="Calibri" w:hAnsi="Calibri"/>
                <w:b/>
                <w:sz w:val="22"/>
                <w:szCs w:val="22"/>
                <w:lang w:val="nl-BE"/>
              </w:rPr>
              <w:br/>
            </w:r>
            <w:r w:rsidR="0029233E">
              <w:rPr>
                <w:rFonts w:ascii="Calibri" w:hAnsi="Calibri"/>
                <w:b/>
                <w:sz w:val="22"/>
                <w:szCs w:val="22"/>
                <w:lang w:val="nl-BE"/>
              </w:rPr>
              <w:t xml:space="preserve">19 </w:t>
            </w:r>
            <w:proofErr w:type="gramStart"/>
            <w:r w:rsidR="0029233E">
              <w:rPr>
                <w:rFonts w:ascii="Calibri" w:hAnsi="Calibri"/>
                <w:b/>
                <w:sz w:val="22"/>
                <w:szCs w:val="22"/>
                <w:lang w:val="nl-BE"/>
              </w:rPr>
              <w:t>DECEMBER</w:t>
            </w:r>
            <w:proofErr w:type="gramEnd"/>
            <w:r w:rsidR="00935D13">
              <w:rPr>
                <w:rFonts w:ascii="Calibri" w:hAnsi="Calibri"/>
                <w:b/>
                <w:sz w:val="22"/>
                <w:szCs w:val="22"/>
                <w:lang w:val="nl-BE"/>
              </w:rPr>
              <w:t xml:space="preserve"> 2013</w:t>
            </w:r>
            <w:r w:rsidR="0052799F" w:rsidRPr="00071EA1">
              <w:rPr>
                <w:rFonts w:ascii="Calibri" w:hAnsi="Calibri"/>
                <w:b/>
                <w:sz w:val="22"/>
                <w:szCs w:val="22"/>
                <w:lang w:val="nl-BE"/>
              </w:rPr>
              <w:t xml:space="preserve"> </w:t>
            </w:r>
            <w:r w:rsidRPr="00071EA1">
              <w:rPr>
                <w:rFonts w:ascii="Calibri" w:hAnsi="Calibri"/>
                <w:b/>
                <w:sz w:val="22"/>
                <w:szCs w:val="22"/>
                <w:lang w:val="nl-BE"/>
              </w:rPr>
              <w:t>BETREFFENDE DE BESTAANSZEKERHEID</w:t>
            </w:r>
          </w:p>
        </w:tc>
        <w:tc>
          <w:tcPr>
            <w:tcW w:w="4536" w:type="dxa"/>
            <w:vAlign w:val="center"/>
          </w:tcPr>
          <w:p w:rsidR="00805EC3" w:rsidRPr="00035878" w:rsidRDefault="00805EC3" w:rsidP="0029233E">
            <w:pPr>
              <w:pStyle w:val="PlainText"/>
              <w:spacing w:before="120" w:after="120"/>
              <w:jc w:val="center"/>
              <w:rPr>
                <w:rFonts w:ascii="Calibri" w:hAnsi="Calibri"/>
                <w:b/>
                <w:sz w:val="22"/>
                <w:szCs w:val="22"/>
                <w:lang w:val="fr-BE"/>
              </w:rPr>
            </w:pPr>
            <w:r w:rsidRPr="00035878">
              <w:rPr>
                <w:rFonts w:ascii="Calibri" w:hAnsi="Calibri"/>
                <w:b/>
                <w:sz w:val="22"/>
                <w:szCs w:val="22"/>
                <w:lang w:val="fr-BE"/>
              </w:rPr>
              <w:t>CONV</w:t>
            </w:r>
            <w:r w:rsidR="00071EA1" w:rsidRPr="00035878">
              <w:rPr>
                <w:rFonts w:ascii="Calibri" w:hAnsi="Calibri"/>
                <w:b/>
                <w:sz w:val="22"/>
                <w:szCs w:val="22"/>
                <w:lang w:val="fr-BE"/>
              </w:rPr>
              <w:t>ENTION COLLECTIVE DE TRAVAIL DU</w:t>
            </w:r>
            <w:r w:rsidR="00071EA1" w:rsidRPr="00035878">
              <w:rPr>
                <w:rFonts w:ascii="Calibri" w:hAnsi="Calibri"/>
                <w:b/>
                <w:sz w:val="22"/>
                <w:szCs w:val="22"/>
                <w:lang w:val="fr-BE"/>
              </w:rPr>
              <w:br/>
            </w:r>
            <w:r w:rsidR="0029233E">
              <w:rPr>
                <w:rFonts w:ascii="Calibri" w:hAnsi="Calibri"/>
                <w:b/>
                <w:sz w:val="22"/>
                <w:szCs w:val="22"/>
                <w:lang w:val="fr-BE"/>
              </w:rPr>
              <w:t>19 DECEMBRE</w:t>
            </w:r>
            <w:r w:rsidR="00935D13">
              <w:rPr>
                <w:rFonts w:ascii="Calibri" w:hAnsi="Calibri"/>
                <w:b/>
                <w:sz w:val="22"/>
                <w:szCs w:val="22"/>
                <w:lang w:val="fr-BE"/>
              </w:rPr>
              <w:t xml:space="preserve"> 2013</w:t>
            </w:r>
            <w:r w:rsidRPr="00035878">
              <w:rPr>
                <w:rFonts w:ascii="Calibri" w:hAnsi="Calibri"/>
                <w:b/>
                <w:sz w:val="22"/>
                <w:szCs w:val="22"/>
                <w:lang w:val="fr-BE"/>
              </w:rPr>
              <w:t xml:space="preserve"> RELATIVE A LA SECURITE D’EXISTENCE</w:t>
            </w:r>
          </w:p>
        </w:tc>
      </w:tr>
      <w:tr w:rsidR="00106FAE" w:rsidRPr="00071EA1">
        <w:tc>
          <w:tcPr>
            <w:tcW w:w="4536" w:type="dxa"/>
          </w:tcPr>
          <w:p w:rsidR="00106FAE" w:rsidRPr="00071EA1" w:rsidRDefault="00106FAE" w:rsidP="00854DB6">
            <w:pPr>
              <w:pStyle w:val="Heading4"/>
              <w:keepNext w:val="0"/>
              <w:tabs>
                <w:tab w:val="clear" w:pos="345"/>
                <w:tab w:val="clear" w:pos="518"/>
                <w:tab w:val="clear" w:pos="691"/>
                <w:tab w:val="clear" w:pos="864"/>
                <w:tab w:val="clear" w:pos="1036"/>
                <w:tab w:val="clear" w:pos="1209"/>
                <w:tab w:val="clear" w:pos="1382"/>
                <w:tab w:val="clear" w:pos="2764"/>
              </w:tabs>
              <w:spacing w:before="120" w:after="120"/>
              <w:rPr>
                <w:rFonts w:ascii="Calibri" w:hAnsi="Calibri"/>
                <w:sz w:val="22"/>
                <w:szCs w:val="22"/>
                <w:lang w:val="nl-BE"/>
              </w:rPr>
            </w:pPr>
            <w:r w:rsidRPr="00071EA1">
              <w:rPr>
                <w:rFonts w:ascii="Calibri" w:hAnsi="Calibri"/>
                <w:sz w:val="22"/>
                <w:szCs w:val="22"/>
                <w:lang w:val="nl-BE"/>
              </w:rPr>
              <w:t>HOOFDSTUK 1 - TOEPASSINGSGEBIED</w:t>
            </w:r>
          </w:p>
        </w:tc>
        <w:tc>
          <w:tcPr>
            <w:tcW w:w="4536" w:type="dxa"/>
          </w:tcPr>
          <w:p w:rsidR="00106FAE" w:rsidRPr="00071EA1" w:rsidRDefault="00106FAE" w:rsidP="00854DB6">
            <w:pPr>
              <w:pStyle w:val="Heading4"/>
              <w:keepNext w:val="0"/>
              <w:tabs>
                <w:tab w:val="clear" w:pos="345"/>
                <w:tab w:val="clear" w:pos="518"/>
                <w:tab w:val="clear" w:pos="691"/>
                <w:tab w:val="clear" w:pos="864"/>
                <w:tab w:val="clear" w:pos="1036"/>
                <w:tab w:val="clear" w:pos="1209"/>
                <w:tab w:val="clear" w:pos="1382"/>
                <w:tab w:val="clear" w:pos="2764"/>
              </w:tabs>
              <w:spacing w:before="120" w:after="120"/>
              <w:rPr>
                <w:rFonts w:ascii="Calibri" w:hAnsi="Calibri"/>
                <w:sz w:val="22"/>
                <w:szCs w:val="22"/>
                <w:lang w:val="fr-BE"/>
              </w:rPr>
            </w:pPr>
            <w:r w:rsidRPr="00071EA1">
              <w:rPr>
                <w:rFonts w:ascii="Calibri" w:hAnsi="Calibri"/>
                <w:sz w:val="22"/>
                <w:szCs w:val="22"/>
                <w:lang w:val="fr-BE"/>
              </w:rPr>
              <w:t>CHAPITRE 1 - CHAMP D'APPLICATION</w:t>
            </w:r>
          </w:p>
        </w:tc>
      </w:tr>
      <w:tr w:rsidR="00106FAE" w:rsidRPr="00071EA1">
        <w:tc>
          <w:tcPr>
            <w:tcW w:w="4536" w:type="dxa"/>
          </w:tcPr>
          <w:p w:rsidR="00106FAE" w:rsidRPr="00071EA1" w:rsidRDefault="00106FAE"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nl-BE"/>
              </w:rPr>
            </w:pPr>
            <w:r w:rsidRPr="00071EA1">
              <w:rPr>
                <w:rFonts w:ascii="Calibri" w:hAnsi="Calibri" w:cs="Arial"/>
                <w:b w:val="0"/>
                <w:i/>
                <w:iCs/>
                <w:sz w:val="22"/>
                <w:szCs w:val="22"/>
                <w:lang w:val="nl-BE"/>
              </w:rPr>
              <w:t>Artikel 1 -</w:t>
            </w:r>
            <w:r w:rsidRPr="00071EA1">
              <w:rPr>
                <w:rFonts w:ascii="Calibri" w:hAnsi="Calibri" w:cs="Arial"/>
                <w:b w:val="0"/>
                <w:sz w:val="22"/>
                <w:szCs w:val="22"/>
                <w:lang w:val="nl-BE"/>
              </w:rPr>
              <w:t xml:space="preserve"> § 1. Deze collectieve arbeidsovereenkomst is van toepassing op de werkgevers en arbeiders van de ondernemingen die vallen onder het Paritair comité voor de Handel in Voedingswaren.</w:t>
            </w:r>
          </w:p>
          <w:p w:rsidR="00106FAE" w:rsidRPr="00071EA1" w:rsidRDefault="00106FAE" w:rsidP="00854DB6">
            <w:pPr>
              <w:spacing w:before="120" w:after="120"/>
              <w:jc w:val="both"/>
              <w:rPr>
                <w:rFonts w:ascii="Calibri" w:hAnsi="Calibri"/>
                <w:sz w:val="22"/>
                <w:szCs w:val="22"/>
                <w:lang w:val="nl-BE"/>
              </w:rPr>
            </w:pPr>
            <w:r w:rsidRPr="00071EA1">
              <w:rPr>
                <w:rFonts w:ascii="Calibri" w:hAnsi="Calibri" w:cs="Arial"/>
                <w:sz w:val="22"/>
                <w:szCs w:val="22"/>
                <w:lang w:val="nl-BE"/>
              </w:rPr>
              <w:t>§ 2. Met arbeiders worden de mannelijke en de vrouwelijke arbeiders bedoeld.</w:t>
            </w:r>
          </w:p>
        </w:tc>
        <w:tc>
          <w:tcPr>
            <w:tcW w:w="4536" w:type="dxa"/>
          </w:tcPr>
          <w:p w:rsidR="00106FAE" w:rsidRPr="00071EA1" w:rsidRDefault="00106FAE"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bCs/>
                <w:sz w:val="22"/>
                <w:szCs w:val="22"/>
                <w:lang w:val="fr-BE"/>
              </w:rPr>
            </w:pPr>
            <w:r w:rsidRPr="00071EA1">
              <w:rPr>
                <w:rFonts w:ascii="Calibri" w:hAnsi="Calibri" w:cs="Arial"/>
                <w:b w:val="0"/>
                <w:i/>
                <w:iCs/>
                <w:sz w:val="22"/>
                <w:szCs w:val="22"/>
                <w:lang w:val="fr-BE"/>
              </w:rPr>
              <w:t xml:space="preserve">Article 1 - </w:t>
            </w:r>
            <w:r w:rsidRPr="00071EA1">
              <w:rPr>
                <w:rFonts w:ascii="Calibri" w:hAnsi="Calibri" w:cs="Arial"/>
                <w:b w:val="0"/>
                <w:sz w:val="22"/>
                <w:szCs w:val="22"/>
                <w:lang w:val="fr-BE"/>
              </w:rPr>
              <w:t>§ 1. La présente convention collective de travail s’applique aux employeurs et aux ouvriers des entreprises ressortissant à la Commission paritaire du Commerce Alimentaire.</w:t>
            </w:r>
          </w:p>
          <w:p w:rsidR="00106FAE" w:rsidRPr="00071EA1" w:rsidRDefault="00106FAE" w:rsidP="00854DB6">
            <w:pPr>
              <w:spacing w:before="120" w:after="120"/>
              <w:rPr>
                <w:rFonts w:ascii="Calibri" w:hAnsi="Calibri"/>
                <w:sz w:val="22"/>
                <w:szCs w:val="22"/>
              </w:rPr>
            </w:pPr>
            <w:r w:rsidRPr="00071EA1">
              <w:rPr>
                <w:rFonts w:ascii="Calibri" w:hAnsi="Calibri"/>
                <w:sz w:val="22"/>
                <w:szCs w:val="22"/>
              </w:rPr>
              <w:t>§ 2.</w:t>
            </w:r>
            <w:r w:rsidRPr="00071EA1">
              <w:rPr>
                <w:rFonts w:ascii="Calibri" w:hAnsi="Calibri" w:cs="Arial"/>
                <w:sz w:val="22"/>
                <w:szCs w:val="22"/>
              </w:rPr>
              <w:t xml:space="preserve"> Par ouvriers sont visés les ouvriers masculins et féminins.</w:t>
            </w:r>
          </w:p>
        </w:tc>
      </w:tr>
      <w:tr w:rsidR="00106FAE" w:rsidRPr="00071EA1">
        <w:tc>
          <w:tcPr>
            <w:tcW w:w="4536" w:type="dxa"/>
          </w:tcPr>
          <w:p w:rsidR="00106FAE" w:rsidRPr="00071EA1" w:rsidRDefault="00106FAE" w:rsidP="00854DB6">
            <w:pPr>
              <w:pStyle w:val="Heading2"/>
              <w:keepNext w:val="0"/>
              <w:numPr>
                <w:ilvl w:val="0"/>
                <w:numId w:val="0"/>
              </w:numPr>
              <w:spacing w:before="120" w:after="120"/>
              <w:rPr>
                <w:rFonts w:ascii="Calibri" w:hAnsi="Calibri" w:cs="Arial"/>
                <w:b/>
                <w:bCs/>
                <w:i w:val="0"/>
                <w:sz w:val="22"/>
                <w:szCs w:val="22"/>
                <w:lang w:val="nl-BE"/>
              </w:rPr>
            </w:pPr>
            <w:r w:rsidRPr="00071EA1">
              <w:rPr>
                <w:rFonts w:ascii="Calibri" w:hAnsi="Calibri" w:cs="Arial"/>
                <w:b/>
                <w:bCs/>
                <w:i w:val="0"/>
                <w:sz w:val="22"/>
                <w:szCs w:val="22"/>
                <w:lang w:val="nl-BE"/>
              </w:rPr>
              <w:t>HOOFDSTUK 2 - COLLECTIEF ONTSLAG</w:t>
            </w:r>
          </w:p>
        </w:tc>
        <w:tc>
          <w:tcPr>
            <w:tcW w:w="4536" w:type="dxa"/>
          </w:tcPr>
          <w:p w:rsidR="00106FAE" w:rsidRPr="00071EA1" w:rsidRDefault="00106FAE"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Cs/>
                <w:sz w:val="22"/>
                <w:szCs w:val="22"/>
                <w:lang w:val="fr-BE"/>
              </w:rPr>
            </w:pPr>
            <w:r w:rsidRPr="00071EA1">
              <w:rPr>
                <w:rFonts w:ascii="Calibri" w:hAnsi="Calibri" w:cs="Arial"/>
                <w:bCs/>
                <w:sz w:val="22"/>
                <w:szCs w:val="22"/>
                <w:lang w:val="fr-BE"/>
              </w:rPr>
              <w:t>CHAPITRE 2 - LICENCIEMENT COLLECTIF</w:t>
            </w:r>
          </w:p>
        </w:tc>
      </w:tr>
      <w:tr w:rsidR="00106FAE" w:rsidRPr="00684F6F">
        <w:tc>
          <w:tcPr>
            <w:tcW w:w="4536" w:type="dxa"/>
          </w:tcPr>
          <w:p w:rsidR="00106FAE" w:rsidRPr="00F0712F" w:rsidRDefault="00106FAE" w:rsidP="00935D13">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nl-BE"/>
              </w:rPr>
            </w:pPr>
            <w:r w:rsidRPr="00F0712F">
              <w:rPr>
                <w:rFonts w:ascii="Calibri" w:hAnsi="Calibri" w:cs="Arial"/>
                <w:b w:val="0"/>
                <w:i/>
                <w:iCs/>
                <w:sz w:val="22"/>
                <w:szCs w:val="22"/>
                <w:lang w:val="nl-BE"/>
              </w:rPr>
              <w:t xml:space="preserve">Artikel 2 - </w:t>
            </w:r>
            <w:r w:rsidRPr="00F0712F">
              <w:rPr>
                <w:rFonts w:ascii="Calibri" w:hAnsi="Calibri" w:cs="Arial"/>
                <w:b w:val="0"/>
                <w:sz w:val="22"/>
                <w:szCs w:val="22"/>
                <w:lang w:val="nl-BE"/>
              </w:rPr>
              <w:t xml:space="preserve">§ 1. Het Waarborg- en sociaal fonds voor de Handel in Voedingswaren kent aan de arbeiders die het slachtoffer zijn van een collectief ontslag, zoals gedefinieerd in de CAO’s nr. 10 en 24 van de NAR, een uitkering toe van </w:t>
            </w:r>
            <w:r w:rsidR="00935D13" w:rsidRPr="00F0712F">
              <w:rPr>
                <w:rFonts w:ascii="Calibri" w:hAnsi="Calibri" w:cs="Arial"/>
                <w:b w:val="0"/>
                <w:sz w:val="22"/>
                <w:szCs w:val="22"/>
                <w:lang w:val="nl-BE"/>
              </w:rPr>
              <w:t>3,60</w:t>
            </w:r>
            <w:r w:rsidRPr="00F0712F">
              <w:rPr>
                <w:rFonts w:ascii="Calibri" w:hAnsi="Calibri" w:cs="Arial"/>
                <w:b w:val="0"/>
                <w:sz w:val="22"/>
                <w:szCs w:val="22"/>
                <w:lang w:val="nl-BE"/>
              </w:rPr>
              <w:t xml:space="preserve"> euro per dag ter aanvulling van de wettelijke vergoeding gedurende de eerste 120 door de RVA vergoedbare dagen volgend op het ontslag.</w:t>
            </w:r>
          </w:p>
          <w:p w:rsidR="00F15DFE" w:rsidRPr="00F0712F" w:rsidRDefault="00F15DFE" w:rsidP="00935D13">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nl-BE"/>
              </w:rPr>
            </w:pPr>
            <w:r w:rsidRPr="00F0712F">
              <w:rPr>
                <w:rFonts w:ascii="Calibri" w:hAnsi="Calibri" w:cs="Arial"/>
                <w:b w:val="0"/>
                <w:sz w:val="22"/>
                <w:szCs w:val="22"/>
                <w:lang w:val="nl-BE"/>
              </w:rPr>
              <w:t>§ 2. Vanaf 1 januari 2014, wordt de dagvergoeding vermeld in § 1, gebracht op 3,80 euro.</w:t>
            </w:r>
          </w:p>
        </w:tc>
        <w:tc>
          <w:tcPr>
            <w:tcW w:w="4536" w:type="dxa"/>
          </w:tcPr>
          <w:p w:rsidR="00106FAE" w:rsidRDefault="00106FAE" w:rsidP="00935D13">
            <w:pPr>
              <w:spacing w:before="120" w:after="120"/>
              <w:rPr>
                <w:rFonts w:ascii="Calibri" w:hAnsi="Calibri" w:cs="Arial"/>
                <w:sz w:val="22"/>
                <w:szCs w:val="22"/>
              </w:rPr>
            </w:pPr>
            <w:r w:rsidRPr="00F0712F">
              <w:rPr>
                <w:rFonts w:ascii="Calibri" w:hAnsi="Calibri" w:cs="Arial"/>
                <w:i/>
                <w:iCs/>
                <w:sz w:val="22"/>
                <w:szCs w:val="22"/>
              </w:rPr>
              <w:t>Article 2 -</w:t>
            </w:r>
            <w:r w:rsidRPr="00F0712F">
              <w:rPr>
                <w:rFonts w:ascii="Calibri" w:hAnsi="Calibri" w:cs="Arial"/>
                <w:sz w:val="22"/>
                <w:szCs w:val="22"/>
              </w:rPr>
              <w:t xml:space="preserve"> § 1. Le Fonds Social et de Garantie du Commerce Alimentaire accorde aux ouvriers victimes d’un licenciement collectif tel que défini dans les CCT n° 10 et 24 du CNT, une allocation complémentaire aux indemnités légales de </w:t>
            </w:r>
            <w:r w:rsidR="00935D13" w:rsidRPr="00F0712F">
              <w:rPr>
                <w:rFonts w:ascii="Calibri" w:hAnsi="Calibri" w:cs="Arial"/>
                <w:sz w:val="22"/>
                <w:szCs w:val="22"/>
              </w:rPr>
              <w:t>3,60</w:t>
            </w:r>
            <w:r w:rsidRPr="00F0712F">
              <w:rPr>
                <w:rFonts w:ascii="Calibri" w:hAnsi="Calibri" w:cs="Arial"/>
                <w:sz w:val="22"/>
                <w:szCs w:val="22"/>
              </w:rPr>
              <w:t xml:space="preserve"> euros par jour pendant les 120 premiers jours indemnisables par l’ONEM suivant le licenciement.</w:t>
            </w:r>
            <w:r w:rsidR="00777BC0">
              <w:rPr>
                <w:rFonts w:ascii="Calibri" w:hAnsi="Calibri" w:cs="Arial"/>
                <w:sz w:val="22"/>
                <w:szCs w:val="22"/>
              </w:rPr>
              <w:br/>
            </w:r>
          </w:p>
          <w:p w:rsidR="00F0712F" w:rsidRPr="00684F6F" w:rsidRDefault="00F0712F" w:rsidP="00644070">
            <w:pPr>
              <w:spacing w:before="120" w:after="120"/>
              <w:rPr>
                <w:rFonts w:ascii="Calibri" w:hAnsi="Calibri" w:cs="Arial"/>
                <w:sz w:val="22"/>
                <w:szCs w:val="22"/>
              </w:rPr>
            </w:pPr>
            <w:r w:rsidRPr="00684F6F">
              <w:rPr>
                <w:rFonts w:ascii="Calibri" w:hAnsi="Calibri" w:cs="Arial"/>
                <w:sz w:val="22"/>
                <w:szCs w:val="22"/>
              </w:rPr>
              <w:t xml:space="preserve">§ 2. </w:t>
            </w:r>
            <w:r w:rsidR="00684F6F" w:rsidRPr="00071EA1">
              <w:rPr>
                <w:rFonts w:ascii="Calibri" w:hAnsi="Calibri" w:cs="Arial"/>
                <w:sz w:val="22"/>
                <w:szCs w:val="22"/>
              </w:rPr>
              <w:t xml:space="preserve">A partir du 1er </w:t>
            </w:r>
            <w:r w:rsidR="00644070">
              <w:rPr>
                <w:rFonts w:ascii="Calibri" w:hAnsi="Calibri" w:cs="Arial"/>
                <w:sz w:val="22"/>
                <w:szCs w:val="22"/>
              </w:rPr>
              <w:t>janvier</w:t>
            </w:r>
            <w:r w:rsidR="00684F6F" w:rsidRPr="00071EA1">
              <w:rPr>
                <w:rFonts w:ascii="Calibri" w:hAnsi="Calibri" w:cs="Arial"/>
                <w:sz w:val="22"/>
                <w:szCs w:val="22"/>
              </w:rPr>
              <w:t xml:space="preserve"> 20</w:t>
            </w:r>
            <w:r w:rsidR="00684F6F">
              <w:rPr>
                <w:rFonts w:ascii="Calibri" w:hAnsi="Calibri" w:cs="Arial"/>
                <w:sz w:val="22"/>
                <w:szCs w:val="22"/>
              </w:rPr>
              <w:t>14</w:t>
            </w:r>
            <w:r w:rsidR="00684F6F" w:rsidRPr="00071EA1">
              <w:rPr>
                <w:rFonts w:ascii="Calibri" w:hAnsi="Calibri" w:cs="Arial"/>
                <w:sz w:val="22"/>
                <w:szCs w:val="22"/>
              </w:rPr>
              <w:t>, l’indemnité journalière mentionnée au § 1 est portée à 3,</w:t>
            </w:r>
            <w:r w:rsidR="00684F6F">
              <w:rPr>
                <w:rFonts w:ascii="Calibri" w:hAnsi="Calibri" w:cs="Arial"/>
                <w:sz w:val="22"/>
                <w:szCs w:val="22"/>
              </w:rPr>
              <w:t>80</w:t>
            </w:r>
            <w:r w:rsidR="00684F6F" w:rsidRPr="00071EA1">
              <w:rPr>
                <w:rFonts w:ascii="Calibri" w:hAnsi="Calibri" w:cs="Arial"/>
                <w:sz w:val="22"/>
                <w:szCs w:val="22"/>
              </w:rPr>
              <w:t> euros</w:t>
            </w:r>
            <w:r w:rsidRPr="00684F6F">
              <w:rPr>
                <w:rFonts w:ascii="Calibri" w:hAnsi="Calibri" w:cs="Arial"/>
                <w:sz w:val="22"/>
                <w:szCs w:val="22"/>
              </w:rPr>
              <w:t>.</w:t>
            </w:r>
          </w:p>
        </w:tc>
      </w:tr>
      <w:tr w:rsidR="00106FAE" w:rsidRPr="00071EA1">
        <w:tc>
          <w:tcPr>
            <w:tcW w:w="4536" w:type="dxa"/>
          </w:tcPr>
          <w:p w:rsidR="00106FAE" w:rsidRPr="00071EA1" w:rsidRDefault="00106FAE" w:rsidP="00854DB6">
            <w:pPr>
              <w:pStyle w:val="Heading2"/>
              <w:keepNext w:val="0"/>
              <w:numPr>
                <w:ilvl w:val="0"/>
                <w:numId w:val="0"/>
              </w:numPr>
              <w:spacing w:before="120" w:after="120"/>
              <w:rPr>
                <w:rFonts w:ascii="Calibri" w:hAnsi="Calibri" w:cs="Arial"/>
                <w:b/>
                <w:bCs/>
                <w:i w:val="0"/>
                <w:sz w:val="22"/>
                <w:szCs w:val="22"/>
                <w:lang w:val="nl-BE"/>
              </w:rPr>
            </w:pPr>
            <w:r w:rsidRPr="00071EA1">
              <w:rPr>
                <w:rFonts w:ascii="Calibri" w:hAnsi="Calibri" w:cs="Arial"/>
                <w:b/>
                <w:bCs/>
                <w:i w:val="0"/>
                <w:sz w:val="22"/>
                <w:szCs w:val="22"/>
                <w:lang w:val="nl-BE"/>
              </w:rPr>
              <w:t>HOOFDSTUK 3 - TIJDELIJKE WERKLOOSHEID</w:t>
            </w:r>
            <w:r w:rsidRPr="00071EA1">
              <w:rPr>
                <w:rFonts w:ascii="Calibri" w:hAnsi="Calibri" w:cs="Arial"/>
                <w:i w:val="0"/>
                <w:sz w:val="22"/>
                <w:szCs w:val="22"/>
                <w:lang w:val="nl-BE"/>
              </w:rPr>
              <w:t xml:space="preserve"> </w:t>
            </w:r>
          </w:p>
        </w:tc>
        <w:tc>
          <w:tcPr>
            <w:tcW w:w="4536" w:type="dxa"/>
          </w:tcPr>
          <w:p w:rsidR="00106FAE" w:rsidRPr="00071EA1" w:rsidRDefault="00106FAE"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Cs/>
                <w:snapToGrid/>
                <w:color w:val="auto"/>
                <w:spacing w:val="0"/>
                <w:sz w:val="22"/>
                <w:szCs w:val="22"/>
                <w:lang w:val="fr-BE" w:eastAsia="en-US"/>
              </w:rPr>
            </w:pPr>
            <w:r w:rsidRPr="00071EA1">
              <w:rPr>
                <w:rFonts w:ascii="Calibri" w:hAnsi="Calibri" w:cs="Arial"/>
                <w:bCs/>
                <w:snapToGrid/>
                <w:color w:val="auto"/>
                <w:spacing w:val="0"/>
                <w:sz w:val="22"/>
                <w:szCs w:val="22"/>
                <w:lang w:val="fr-BE" w:eastAsia="en-US"/>
              </w:rPr>
              <w:t>CHAPITRE 3 - CHOMAGE TEMPORAIRE</w:t>
            </w:r>
          </w:p>
        </w:tc>
      </w:tr>
      <w:tr w:rsidR="00106FAE" w:rsidRPr="00684F6F">
        <w:tc>
          <w:tcPr>
            <w:tcW w:w="4536" w:type="dxa"/>
          </w:tcPr>
          <w:p w:rsidR="00106FAE" w:rsidRDefault="00106FAE"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nl-BE"/>
              </w:rPr>
            </w:pPr>
            <w:r w:rsidRPr="00071EA1">
              <w:rPr>
                <w:rFonts w:ascii="Calibri" w:hAnsi="Calibri" w:cs="Arial"/>
                <w:b w:val="0"/>
                <w:i/>
                <w:iCs/>
                <w:sz w:val="22"/>
                <w:szCs w:val="22"/>
                <w:lang w:val="nl-BE"/>
              </w:rPr>
              <w:t>Artikel 3 -</w:t>
            </w:r>
            <w:r w:rsidRPr="00071EA1">
              <w:rPr>
                <w:rFonts w:ascii="Calibri" w:hAnsi="Calibri" w:cs="Arial"/>
                <w:b w:val="0"/>
                <w:sz w:val="22"/>
                <w:szCs w:val="22"/>
                <w:lang w:val="nl-BE"/>
              </w:rPr>
              <w:t xml:space="preserve"> § 1. Het Waarborg- en sociaal fonds van de Handel in Voedingswaren kent aan de arbeiders die het slachtoffer zijn van tijdelijke werkloosheid (om economische en technische reden) een aanvullende vergoeding op de RVA-uitkeringen toe van </w:t>
            </w:r>
            <w:r w:rsidR="00935D13">
              <w:rPr>
                <w:rFonts w:ascii="Calibri" w:hAnsi="Calibri" w:cs="Arial"/>
                <w:b w:val="0"/>
                <w:sz w:val="22"/>
                <w:szCs w:val="22"/>
                <w:lang w:val="nl-BE"/>
              </w:rPr>
              <w:t>3,60</w:t>
            </w:r>
            <w:r w:rsidRPr="00071EA1">
              <w:rPr>
                <w:rFonts w:ascii="Calibri" w:hAnsi="Calibri" w:cs="Arial"/>
                <w:b w:val="0"/>
                <w:sz w:val="22"/>
                <w:szCs w:val="22"/>
                <w:lang w:val="nl-BE"/>
              </w:rPr>
              <w:t xml:space="preserve"> euro per dag gedurende de eerste 60 dagen per kalenderjaar die in aanmerking komen voor vergoeding.</w:t>
            </w:r>
          </w:p>
          <w:p w:rsidR="00F15DFE" w:rsidRPr="00087DEA" w:rsidRDefault="00F15DFE"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nl-BE"/>
              </w:rPr>
            </w:pPr>
            <w:r w:rsidRPr="00F15DFE">
              <w:rPr>
                <w:rFonts w:ascii="Calibri" w:hAnsi="Calibri" w:cs="Arial"/>
                <w:b w:val="0"/>
                <w:sz w:val="22"/>
                <w:szCs w:val="22"/>
                <w:lang w:val="nl-BE"/>
              </w:rPr>
              <w:t>§ 2. Vanaf 1 januari 2014, wordt de dagvergoeding vermeld in § 1, gebracht op 3,80 euro.</w:t>
            </w:r>
          </w:p>
        </w:tc>
        <w:tc>
          <w:tcPr>
            <w:tcW w:w="4536" w:type="dxa"/>
          </w:tcPr>
          <w:p w:rsidR="00106FAE" w:rsidRDefault="00106FAE" w:rsidP="00935D13">
            <w:pPr>
              <w:spacing w:before="120" w:after="120"/>
              <w:rPr>
                <w:rFonts w:ascii="Calibri" w:hAnsi="Calibri" w:cs="Arial"/>
                <w:sz w:val="22"/>
                <w:szCs w:val="22"/>
              </w:rPr>
            </w:pPr>
            <w:r w:rsidRPr="00071EA1">
              <w:rPr>
                <w:rFonts w:ascii="Calibri" w:hAnsi="Calibri" w:cs="Arial"/>
                <w:i/>
                <w:iCs/>
                <w:sz w:val="22"/>
                <w:szCs w:val="22"/>
              </w:rPr>
              <w:t>Article 3 -</w:t>
            </w:r>
            <w:r w:rsidRPr="00071EA1">
              <w:rPr>
                <w:rFonts w:ascii="Calibri" w:hAnsi="Calibri" w:cs="Arial"/>
                <w:sz w:val="22"/>
                <w:szCs w:val="22"/>
              </w:rPr>
              <w:t xml:space="preserve"> § 1. Le Fonds Social et de Garantie du Commerce Alimentaire accorde aux ouvriers victimes de chômage temporaire (pour raisons économiques ou techniques) une allocation complémentaire à l’indemnité de l’ONEM de </w:t>
            </w:r>
            <w:r w:rsidR="00935D13">
              <w:rPr>
                <w:rFonts w:ascii="Calibri" w:hAnsi="Calibri" w:cs="Arial"/>
                <w:sz w:val="22"/>
                <w:szCs w:val="22"/>
              </w:rPr>
              <w:t>3,60</w:t>
            </w:r>
            <w:r w:rsidRPr="00071EA1">
              <w:rPr>
                <w:rFonts w:ascii="Calibri" w:hAnsi="Calibri" w:cs="Arial"/>
                <w:sz w:val="22"/>
                <w:szCs w:val="22"/>
              </w:rPr>
              <w:t xml:space="preserve"> euros par jour pendant les 60 premiers jours indemnisables par année calendrier.</w:t>
            </w:r>
            <w:r w:rsidR="00F15DFE">
              <w:rPr>
                <w:rFonts w:ascii="Calibri" w:hAnsi="Calibri" w:cs="Arial"/>
                <w:sz w:val="22"/>
                <w:szCs w:val="22"/>
              </w:rPr>
              <w:br/>
            </w:r>
          </w:p>
          <w:p w:rsidR="00F15DFE" w:rsidRPr="00684F6F" w:rsidRDefault="00F15DFE" w:rsidP="00644070">
            <w:pPr>
              <w:spacing w:before="120" w:after="120"/>
              <w:rPr>
                <w:rFonts w:ascii="Calibri" w:hAnsi="Calibri" w:cs="Arial"/>
                <w:sz w:val="22"/>
                <w:szCs w:val="22"/>
              </w:rPr>
            </w:pPr>
            <w:r w:rsidRPr="00684F6F">
              <w:rPr>
                <w:rFonts w:ascii="Calibri" w:hAnsi="Calibri" w:cs="Arial"/>
                <w:sz w:val="22"/>
                <w:szCs w:val="22"/>
              </w:rPr>
              <w:t xml:space="preserve">§ 2. </w:t>
            </w:r>
            <w:r w:rsidR="00684F6F" w:rsidRPr="00071EA1">
              <w:rPr>
                <w:rFonts w:ascii="Calibri" w:hAnsi="Calibri" w:cs="Arial"/>
                <w:sz w:val="22"/>
                <w:szCs w:val="22"/>
              </w:rPr>
              <w:t xml:space="preserve">A partir du 1er </w:t>
            </w:r>
            <w:r w:rsidR="00644070">
              <w:rPr>
                <w:rFonts w:ascii="Calibri" w:hAnsi="Calibri" w:cs="Arial"/>
                <w:sz w:val="22"/>
                <w:szCs w:val="22"/>
              </w:rPr>
              <w:t>janvier</w:t>
            </w:r>
            <w:r w:rsidR="00684F6F" w:rsidRPr="00071EA1">
              <w:rPr>
                <w:rFonts w:ascii="Calibri" w:hAnsi="Calibri" w:cs="Arial"/>
                <w:sz w:val="22"/>
                <w:szCs w:val="22"/>
              </w:rPr>
              <w:t xml:space="preserve"> 20</w:t>
            </w:r>
            <w:r w:rsidR="00684F6F">
              <w:rPr>
                <w:rFonts w:ascii="Calibri" w:hAnsi="Calibri" w:cs="Arial"/>
                <w:sz w:val="22"/>
                <w:szCs w:val="22"/>
              </w:rPr>
              <w:t>14</w:t>
            </w:r>
            <w:r w:rsidR="00684F6F" w:rsidRPr="00071EA1">
              <w:rPr>
                <w:rFonts w:ascii="Calibri" w:hAnsi="Calibri" w:cs="Arial"/>
                <w:sz w:val="22"/>
                <w:szCs w:val="22"/>
              </w:rPr>
              <w:t>, l’indemnité journalière mentionnée au § 1 est portée à 3,</w:t>
            </w:r>
            <w:r w:rsidR="00684F6F">
              <w:rPr>
                <w:rFonts w:ascii="Calibri" w:hAnsi="Calibri" w:cs="Arial"/>
                <w:sz w:val="22"/>
                <w:szCs w:val="22"/>
              </w:rPr>
              <w:t>80</w:t>
            </w:r>
            <w:r w:rsidR="00684F6F" w:rsidRPr="00071EA1">
              <w:rPr>
                <w:rFonts w:ascii="Calibri" w:hAnsi="Calibri" w:cs="Arial"/>
                <w:sz w:val="22"/>
                <w:szCs w:val="22"/>
              </w:rPr>
              <w:t> euros</w:t>
            </w:r>
            <w:r w:rsidRPr="00684F6F">
              <w:rPr>
                <w:rFonts w:ascii="Calibri" w:hAnsi="Calibri" w:cs="Arial"/>
                <w:sz w:val="22"/>
                <w:szCs w:val="22"/>
              </w:rPr>
              <w:t>.</w:t>
            </w:r>
          </w:p>
        </w:tc>
      </w:tr>
      <w:tr w:rsidR="001F04B1" w:rsidRPr="00071EA1" w:rsidTr="00F15DFE">
        <w:trPr>
          <w:trHeight w:val="289"/>
        </w:trPr>
        <w:tc>
          <w:tcPr>
            <w:tcW w:w="4536" w:type="dxa"/>
          </w:tcPr>
          <w:p w:rsidR="001F04B1" w:rsidRPr="00071EA1" w:rsidRDefault="001F04B1" w:rsidP="00854DB6">
            <w:pPr>
              <w:pStyle w:val="Heading2"/>
              <w:keepNext w:val="0"/>
              <w:numPr>
                <w:ilvl w:val="0"/>
                <w:numId w:val="0"/>
              </w:numPr>
              <w:spacing w:before="120" w:after="120"/>
              <w:rPr>
                <w:rFonts w:ascii="Calibri" w:hAnsi="Calibri" w:cs="Arial"/>
                <w:b/>
                <w:bCs/>
                <w:i w:val="0"/>
                <w:sz w:val="22"/>
                <w:szCs w:val="22"/>
                <w:lang w:val="nl-BE"/>
              </w:rPr>
            </w:pPr>
            <w:r w:rsidRPr="00071EA1">
              <w:rPr>
                <w:rFonts w:ascii="Calibri" w:hAnsi="Calibri" w:cs="Arial"/>
                <w:b/>
                <w:bCs/>
                <w:i w:val="0"/>
                <w:sz w:val="22"/>
                <w:szCs w:val="22"/>
                <w:lang w:val="nl-BE"/>
              </w:rPr>
              <w:lastRenderedPageBreak/>
              <w:t>HOOFDSTUK 4 - LANGDURIGE ZIEKTE</w:t>
            </w:r>
            <w:r w:rsidRPr="00071EA1">
              <w:rPr>
                <w:rFonts w:ascii="Calibri" w:hAnsi="Calibri" w:cs="Arial"/>
                <w:i w:val="0"/>
                <w:sz w:val="22"/>
                <w:szCs w:val="22"/>
                <w:lang w:val="nl-BE"/>
              </w:rPr>
              <w:t xml:space="preserve"> </w:t>
            </w:r>
          </w:p>
        </w:tc>
        <w:tc>
          <w:tcPr>
            <w:tcW w:w="4536" w:type="dxa"/>
          </w:tcPr>
          <w:p w:rsidR="001F04B1" w:rsidRPr="00071EA1" w:rsidRDefault="001F04B1"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Cs/>
                <w:snapToGrid/>
                <w:color w:val="auto"/>
                <w:spacing w:val="0"/>
                <w:sz w:val="22"/>
                <w:szCs w:val="22"/>
                <w:lang w:val="fr-BE" w:eastAsia="en-US"/>
              </w:rPr>
            </w:pPr>
            <w:r w:rsidRPr="00071EA1">
              <w:rPr>
                <w:rFonts w:ascii="Calibri" w:hAnsi="Calibri" w:cs="Arial"/>
                <w:bCs/>
                <w:snapToGrid/>
                <w:color w:val="auto"/>
                <w:spacing w:val="0"/>
                <w:sz w:val="22"/>
                <w:szCs w:val="22"/>
                <w:lang w:val="fr-BE" w:eastAsia="en-US"/>
              </w:rPr>
              <w:t>CHAPITRE 4 - MALADIE DE LONGUE DUREE</w:t>
            </w:r>
          </w:p>
        </w:tc>
      </w:tr>
      <w:tr w:rsidR="001F04B1" w:rsidRPr="00071EA1">
        <w:tc>
          <w:tcPr>
            <w:tcW w:w="4536" w:type="dxa"/>
          </w:tcPr>
          <w:p w:rsidR="001F04B1" w:rsidRPr="00071EA1" w:rsidRDefault="001F04B1"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nl-BE"/>
              </w:rPr>
            </w:pPr>
            <w:r w:rsidRPr="00071EA1">
              <w:rPr>
                <w:rFonts w:ascii="Calibri" w:hAnsi="Calibri" w:cs="Arial"/>
                <w:b w:val="0"/>
                <w:i/>
                <w:iCs/>
                <w:sz w:val="22"/>
                <w:szCs w:val="22"/>
                <w:lang w:val="nl-BE"/>
              </w:rPr>
              <w:t>Artikel 4 -</w:t>
            </w:r>
            <w:r w:rsidRPr="00071EA1">
              <w:rPr>
                <w:rFonts w:ascii="Calibri" w:hAnsi="Calibri" w:cs="Arial"/>
                <w:b w:val="0"/>
                <w:sz w:val="22"/>
                <w:szCs w:val="22"/>
                <w:lang w:val="nl-BE"/>
              </w:rPr>
              <w:t xml:space="preserve"> § 1. Het Waarborg- en sociaal fonds voor de Handel in Voedingswaren kent aan de arbeiders die langdurig ziek zijn een aanvullende uitkering toe van </w:t>
            </w:r>
            <w:r>
              <w:rPr>
                <w:rFonts w:ascii="Calibri" w:hAnsi="Calibri" w:cs="Arial"/>
                <w:b w:val="0"/>
                <w:sz w:val="22"/>
                <w:szCs w:val="22"/>
                <w:lang w:val="nl-BE"/>
              </w:rPr>
              <w:t>3,60</w:t>
            </w:r>
            <w:r w:rsidRPr="00071EA1">
              <w:rPr>
                <w:rFonts w:ascii="Calibri" w:hAnsi="Calibri" w:cs="Arial"/>
                <w:b w:val="0"/>
                <w:sz w:val="22"/>
                <w:szCs w:val="22"/>
                <w:lang w:val="nl-BE"/>
              </w:rPr>
              <w:t xml:space="preserve"> euro per dag bovenop de ziekteuitkering gedurende 60 dagen te rekenen na de periode gedekt door het gewaarborgd loon.</w:t>
            </w:r>
          </w:p>
          <w:p w:rsidR="001F04B1" w:rsidRPr="00071EA1" w:rsidRDefault="001F04B1"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i/>
                <w:iCs/>
                <w:sz w:val="22"/>
                <w:szCs w:val="22"/>
                <w:lang w:val="nl-BE"/>
              </w:rPr>
            </w:pPr>
            <w:r w:rsidRPr="00071EA1">
              <w:rPr>
                <w:rFonts w:ascii="Calibri" w:hAnsi="Calibri" w:cs="Verdana"/>
                <w:b w:val="0"/>
                <w:sz w:val="22"/>
                <w:szCs w:val="22"/>
                <w:lang w:val="nl-BE"/>
              </w:rPr>
              <w:t>Voor deeltijdse</w:t>
            </w:r>
            <w:r w:rsidRPr="00071EA1">
              <w:rPr>
                <w:rFonts w:ascii="Calibri" w:hAnsi="Calibri" w:cs="Arial"/>
                <w:b w:val="0"/>
                <w:sz w:val="22"/>
                <w:szCs w:val="22"/>
                <w:lang w:val="nl-BE"/>
              </w:rPr>
              <w:t xml:space="preserve"> arbeiders wordt de tussenkomst van het sociaal fonds berekend naar rata van de arbeidstijd.</w:t>
            </w:r>
          </w:p>
        </w:tc>
        <w:tc>
          <w:tcPr>
            <w:tcW w:w="4536" w:type="dxa"/>
          </w:tcPr>
          <w:p w:rsidR="001F04B1" w:rsidRPr="00071EA1" w:rsidRDefault="001F04B1"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fr-BE"/>
              </w:rPr>
            </w:pPr>
            <w:r w:rsidRPr="00071EA1">
              <w:rPr>
                <w:rFonts w:ascii="Calibri" w:hAnsi="Calibri" w:cs="Arial"/>
                <w:b w:val="0"/>
                <w:i/>
                <w:iCs/>
                <w:sz w:val="22"/>
                <w:szCs w:val="22"/>
                <w:lang w:val="fr-BE"/>
              </w:rPr>
              <w:t>Article 4 -</w:t>
            </w:r>
            <w:r w:rsidRPr="00071EA1">
              <w:rPr>
                <w:rFonts w:ascii="Calibri" w:hAnsi="Calibri" w:cs="Arial"/>
                <w:b w:val="0"/>
                <w:sz w:val="22"/>
                <w:szCs w:val="22"/>
                <w:lang w:val="fr-BE"/>
              </w:rPr>
              <w:t xml:space="preserve"> § 1. Le Fonds Social et de Garantie du Commerce Alimentaire accorde aux ouvriers malades de longue durée, une allocation complémentaire à l’indemnité de maladie de </w:t>
            </w:r>
            <w:r>
              <w:rPr>
                <w:rFonts w:ascii="Calibri" w:hAnsi="Calibri" w:cs="Arial"/>
                <w:b w:val="0"/>
                <w:sz w:val="22"/>
                <w:szCs w:val="22"/>
                <w:lang w:val="fr-BE"/>
              </w:rPr>
              <w:t>3,60</w:t>
            </w:r>
            <w:r w:rsidRPr="00071EA1">
              <w:rPr>
                <w:rFonts w:ascii="Calibri" w:hAnsi="Calibri" w:cs="Arial"/>
                <w:b w:val="0"/>
                <w:sz w:val="22"/>
                <w:szCs w:val="22"/>
                <w:lang w:val="fr-BE"/>
              </w:rPr>
              <w:t xml:space="preserve"> euros par jour, pendant 60 jours à compter à partir de la fin de la période couverte par le salaire garanti.</w:t>
            </w:r>
          </w:p>
          <w:p w:rsidR="001F04B1" w:rsidRPr="00071EA1" w:rsidRDefault="001F04B1"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i/>
                <w:iCs/>
                <w:sz w:val="22"/>
                <w:szCs w:val="22"/>
                <w:lang w:val="fr-BE"/>
              </w:rPr>
            </w:pPr>
            <w:r w:rsidRPr="00071EA1">
              <w:rPr>
                <w:rFonts w:ascii="Calibri" w:hAnsi="Calibri" w:cs="Verdana"/>
                <w:b w:val="0"/>
                <w:bCs/>
                <w:sz w:val="22"/>
                <w:szCs w:val="22"/>
                <w:lang w:val="fr-BE"/>
              </w:rPr>
              <w:t>Pour les ouvriers à temps partiel, l</w:t>
            </w:r>
            <w:r w:rsidRPr="00071EA1">
              <w:rPr>
                <w:rFonts w:ascii="Calibri" w:hAnsi="Calibri" w:cs="Arial"/>
                <w:b w:val="0"/>
                <w:bCs/>
                <w:sz w:val="22"/>
                <w:szCs w:val="22"/>
                <w:lang w:val="fr-BE"/>
              </w:rPr>
              <w:t>'intervention du Fonds social se calcule au prorata du temps de travail.</w:t>
            </w:r>
          </w:p>
        </w:tc>
      </w:tr>
      <w:tr w:rsidR="001F04B1" w:rsidRPr="00071EA1">
        <w:tc>
          <w:tcPr>
            <w:tcW w:w="4536" w:type="dxa"/>
          </w:tcPr>
          <w:p w:rsidR="00F15DFE" w:rsidRPr="00F15DFE" w:rsidRDefault="00F15DFE"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bCs/>
                <w:sz w:val="22"/>
                <w:szCs w:val="22"/>
                <w:lang w:val="nl-BE"/>
              </w:rPr>
            </w:pPr>
            <w:r w:rsidRPr="00F15DFE">
              <w:rPr>
                <w:rFonts w:ascii="Calibri" w:hAnsi="Calibri" w:cs="Arial"/>
                <w:b w:val="0"/>
                <w:sz w:val="22"/>
                <w:szCs w:val="22"/>
                <w:lang w:val="nl-BE"/>
              </w:rPr>
              <w:t>§ 2. Vanaf 1 januari 2014, wordt de dagvergoeding vermeld in § 1, gebracht op 3,80 euro.</w:t>
            </w:r>
          </w:p>
          <w:p w:rsidR="001F04B1" w:rsidRPr="00071EA1" w:rsidRDefault="001F04B1"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nl-BE"/>
              </w:rPr>
            </w:pPr>
            <w:r w:rsidRPr="00071EA1">
              <w:rPr>
                <w:rFonts w:ascii="Calibri" w:hAnsi="Calibri" w:cs="Arial"/>
                <w:b w:val="0"/>
                <w:bCs/>
                <w:sz w:val="22"/>
                <w:szCs w:val="22"/>
                <w:lang w:val="nl-BE"/>
              </w:rPr>
              <w:t xml:space="preserve">§ 3. De toekenningsmodaliteiten van de aanvullende uitkering luiden als </w:t>
            </w:r>
            <w:proofErr w:type="gramStart"/>
            <w:r w:rsidRPr="00071EA1">
              <w:rPr>
                <w:rFonts w:ascii="Calibri" w:hAnsi="Calibri" w:cs="Arial"/>
                <w:b w:val="0"/>
                <w:bCs/>
                <w:sz w:val="22"/>
                <w:szCs w:val="22"/>
                <w:lang w:val="nl-BE"/>
              </w:rPr>
              <w:t>volgt :</w:t>
            </w:r>
            <w:proofErr w:type="gramEnd"/>
          </w:p>
          <w:p w:rsidR="001F04B1" w:rsidRPr="00071EA1" w:rsidRDefault="001F04B1"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nl-BE"/>
              </w:rPr>
            </w:pPr>
            <w:r w:rsidRPr="00071EA1">
              <w:rPr>
                <w:rFonts w:ascii="Calibri" w:hAnsi="Calibri" w:cs="Arial"/>
                <w:b w:val="0"/>
                <w:sz w:val="22"/>
                <w:szCs w:val="22"/>
                <w:lang w:val="nl-BE"/>
              </w:rPr>
              <w:t>De arbeider moet langdurig ziek zijn, d.w.z. dat de periode gedekt door het gewaarborgd loon (30 kalenderdagen) voorbij is.</w:t>
            </w:r>
            <w:r w:rsidR="00777BC0">
              <w:rPr>
                <w:rFonts w:ascii="Calibri" w:hAnsi="Calibri" w:cs="Arial"/>
                <w:b w:val="0"/>
                <w:sz w:val="22"/>
                <w:szCs w:val="22"/>
                <w:lang w:val="nl-BE"/>
              </w:rPr>
              <w:br/>
            </w:r>
          </w:p>
          <w:p w:rsidR="001F04B1" w:rsidRPr="00071EA1" w:rsidRDefault="001F04B1"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nl-BE"/>
              </w:rPr>
            </w:pPr>
            <w:r w:rsidRPr="00071EA1">
              <w:rPr>
                <w:rFonts w:ascii="Calibri" w:hAnsi="Calibri" w:cs="Arial"/>
                <w:b w:val="0"/>
                <w:sz w:val="22"/>
                <w:szCs w:val="22"/>
                <w:lang w:val="nl-BE"/>
              </w:rPr>
              <w:t xml:space="preserve">De aanvullende uitkering wordt ook toegekend in geval van verbod te werken of sommige werken uit te voeren tijdens de zwangerschap, voorgeschreven door de </w:t>
            </w:r>
            <w:proofErr w:type="gramStart"/>
            <w:r w:rsidRPr="00071EA1">
              <w:rPr>
                <w:rFonts w:ascii="Calibri" w:hAnsi="Calibri" w:cs="Arial"/>
                <w:b w:val="0"/>
                <w:sz w:val="22"/>
                <w:szCs w:val="22"/>
                <w:lang w:val="nl-BE"/>
              </w:rPr>
              <w:t>geneesheer</w:t>
            </w:r>
            <w:proofErr w:type="gramEnd"/>
            <w:r w:rsidRPr="00071EA1">
              <w:rPr>
                <w:rFonts w:ascii="Calibri" w:hAnsi="Calibri" w:cs="Arial"/>
                <w:b w:val="0"/>
                <w:sz w:val="22"/>
                <w:szCs w:val="22"/>
                <w:lang w:val="nl-BE"/>
              </w:rPr>
              <w:t>. De tussenkomst wordt niet toegekend voor het zwangerschapsverlof.</w:t>
            </w:r>
          </w:p>
        </w:tc>
        <w:tc>
          <w:tcPr>
            <w:tcW w:w="4536" w:type="dxa"/>
          </w:tcPr>
          <w:p w:rsidR="00F15DFE" w:rsidRPr="00684F6F" w:rsidRDefault="00F15DFE" w:rsidP="00854DB6">
            <w:pPr>
              <w:spacing w:before="120" w:after="120"/>
              <w:rPr>
                <w:rFonts w:ascii="Calibri" w:hAnsi="Calibri" w:cs="Arial"/>
                <w:sz w:val="22"/>
                <w:szCs w:val="22"/>
              </w:rPr>
            </w:pPr>
            <w:r w:rsidRPr="00684F6F">
              <w:rPr>
                <w:rFonts w:ascii="Calibri" w:hAnsi="Calibri" w:cs="Arial"/>
                <w:sz w:val="22"/>
                <w:szCs w:val="22"/>
              </w:rPr>
              <w:t xml:space="preserve">§ 2. </w:t>
            </w:r>
            <w:r w:rsidR="00684F6F" w:rsidRPr="00071EA1">
              <w:rPr>
                <w:rFonts w:ascii="Calibri" w:hAnsi="Calibri" w:cs="Arial"/>
                <w:sz w:val="22"/>
                <w:szCs w:val="22"/>
              </w:rPr>
              <w:t xml:space="preserve">A partir du 1er </w:t>
            </w:r>
            <w:r w:rsidR="00644070">
              <w:rPr>
                <w:rFonts w:ascii="Calibri" w:hAnsi="Calibri" w:cs="Arial"/>
                <w:sz w:val="22"/>
                <w:szCs w:val="22"/>
              </w:rPr>
              <w:t>janvier</w:t>
            </w:r>
            <w:r w:rsidR="00684F6F" w:rsidRPr="00071EA1">
              <w:rPr>
                <w:rFonts w:ascii="Calibri" w:hAnsi="Calibri" w:cs="Arial"/>
                <w:sz w:val="22"/>
                <w:szCs w:val="22"/>
              </w:rPr>
              <w:t xml:space="preserve"> 20</w:t>
            </w:r>
            <w:r w:rsidR="00684F6F">
              <w:rPr>
                <w:rFonts w:ascii="Calibri" w:hAnsi="Calibri" w:cs="Arial"/>
                <w:sz w:val="22"/>
                <w:szCs w:val="22"/>
              </w:rPr>
              <w:t>14</w:t>
            </w:r>
            <w:r w:rsidR="00684F6F" w:rsidRPr="00071EA1">
              <w:rPr>
                <w:rFonts w:ascii="Calibri" w:hAnsi="Calibri" w:cs="Arial"/>
                <w:sz w:val="22"/>
                <w:szCs w:val="22"/>
              </w:rPr>
              <w:t>, l’indemnité journalière mentionnée au § 1 est portée à 3,</w:t>
            </w:r>
            <w:r w:rsidR="00684F6F">
              <w:rPr>
                <w:rFonts w:ascii="Calibri" w:hAnsi="Calibri" w:cs="Arial"/>
                <w:sz w:val="22"/>
                <w:szCs w:val="22"/>
              </w:rPr>
              <w:t>80</w:t>
            </w:r>
            <w:r w:rsidR="00684F6F" w:rsidRPr="00071EA1">
              <w:rPr>
                <w:rFonts w:ascii="Calibri" w:hAnsi="Calibri" w:cs="Arial"/>
                <w:sz w:val="22"/>
                <w:szCs w:val="22"/>
              </w:rPr>
              <w:t> euros</w:t>
            </w:r>
            <w:r w:rsidRPr="00684F6F">
              <w:rPr>
                <w:rFonts w:ascii="Calibri" w:hAnsi="Calibri" w:cs="Arial"/>
                <w:sz w:val="22"/>
                <w:szCs w:val="22"/>
              </w:rPr>
              <w:t>.</w:t>
            </w:r>
          </w:p>
          <w:p w:rsidR="001F04B1" w:rsidRPr="00071EA1" w:rsidRDefault="001F04B1" w:rsidP="00854DB6">
            <w:pPr>
              <w:spacing w:before="120" w:after="120"/>
              <w:rPr>
                <w:rFonts w:ascii="Calibri" w:hAnsi="Calibri" w:cs="Arial"/>
                <w:sz w:val="22"/>
                <w:szCs w:val="22"/>
              </w:rPr>
            </w:pPr>
            <w:r w:rsidRPr="00071EA1">
              <w:rPr>
                <w:rFonts w:ascii="Calibri" w:hAnsi="Calibri" w:cs="Arial"/>
                <w:sz w:val="22"/>
                <w:szCs w:val="22"/>
              </w:rPr>
              <w:t xml:space="preserve">§ 3. Les modalités d’octroi de </w:t>
            </w:r>
            <w:r w:rsidR="00F15DFE">
              <w:rPr>
                <w:rFonts w:ascii="Calibri" w:hAnsi="Calibri" w:cs="Arial"/>
                <w:sz w:val="22"/>
                <w:szCs w:val="22"/>
              </w:rPr>
              <w:t>l’indemnité complémentaire sont</w:t>
            </w:r>
            <w:r w:rsidRPr="00071EA1">
              <w:rPr>
                <w:rFonts w:ascii="Calibri" w:hAnsi="Calibri" w:cs="Arial"/>
                <w:sz w:val="22"/>
                <w:szCs w:val="22"/>
              </w:rPr>
              <w:t xml:space="preserve"> les suivantes :</w:t>
            </w:r>
          </w:p>
          <w:p w:rsidR="001F04B1" w:rsidRPr="00071EA1" w:rsidRDefault="001F04B1"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bCs/>
                <w:sz w:val="22"/>
                <w:szCs w:val="22"/>
                <w:lang w:val="fr-BE"/>
              </w:rPr>
            </w:pPr>
            <w:r w:rsidRPr="00071EA1">
              <w:rPr>
                <w:rFonts w:ascii="Calibri" w:hAnsi="Calibri" w:cs="Arial"/>
                <w:b w:val="0"/>
                <w:bCs/>
                <w:sz w:val="22"/>
                <w:szCs w:val="22"/>
                <w:lang w:val="fr-BE"/>
              </w:rPr>
              <w:t>L'ouvrier doit être en maladie de longue durée, c'est-à-dire que la période couverte par le salaire garanti (30 jours calendrier) doit être dépassée.</w:t>
            </w:r>
          </w:p>
          <w:p w:rsidR="001F04B1" w:rsidRPr="00071EA1" w:rsidRDefault="001F04B1"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bCs/>
                <w:sz w:val="22"/>
                <w:szCs w:val="22"/>
                <w:lang w:val="fr-BE"/>
              </w:rPr>
            </w:pPr>
            <w:r w:rsidRPr="00071EA1">
              <w:rPr>
                <w:rFonts w:ascii="Calibri" w:hAnsi="Calibri"/>
                <w:b w:val="0"/>
                <w:sz w:val="22"/>
                <w:szCs w:val="22"/>
                <w:lang w:val="fr-BE"/>
              </w:rPr>
              <w:t>L'allocation complémentaire est également octroyée en cas d'interdiction de travailler ou d'exécuter certains travaux, imposée par le médecin pendant la grossesse. L'allocation n'est pas octroyée pour le congé de maternité.</w:t>
            </w:r>
          </w:p>
        </w:tc>
      </w:tr>
      <w:tr w:rsidR="001F04B1" w:rsidRPr="00071EA1">
        <w:tc>
          <w:tcPr>
            <w:tcW w:w="4536" w:type="dxa"/>
          </w:tcPr>
          <w:p w:rsidR="001F04B1" w:rsidRPr="00071EA1" w:rsidRDefault="001F04B1"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nl-BE"/>
              </w:rPr>
            </w:pPr>
            <w:r w:rsidRPr="00071EA1">
              <w:rPr>
                <w:rFonts w:ascii="Calibri" w:hAnsi="Calibri" w:cs="Arial"/>
                <w:b w:val="0"/>
                <w:sz w:val="22"/>
                <w:szCs w:val="22"/>
                <w:lang w:val="nl-BE"/>
              </w:rPr>
              <w:t>De arbeider, slac</w:t>
            </w:r>
            <w:r w:rsidR="00644070">
              <w:rPr>
                <w:rFonts w:ascii="Calibri" w:hAnsi="Calibri" w:cs="Arial"/>
                <w:b w:val="0"/>
                <w:sz w:val="22"/>
                <w:szCs w:val="22"/>
                <w:lang w:val="nl-BE"/>
              </w:rPr>
              <w:t>htoffer van een arbeidsongeval</w:t>
            </w:r>
            <w:proofErr w:type="gramStart"/>
            <w:r w:rsidR="00644070">
              <w:rPr>
                <w:rFonts w:ascii="Calibri" w:hAnsi="Calibri" w:cs="Arial"/>
                <w:b w:val="0"/>
                <w:sz w:val="22"/>
                <w:szCs w:val="22"/>
                <w:lang w:val="nl-BE"/>
              </w:rPr>
              <w:t xml:space="preserve">, </w:t>
            </w:r>
            <w:r w:rsidRPr="00071EA1">
              <w:rPr>
                <w:rFonts w:ascii="Calibri" w:hAnsi="Calibri" w:cs="Arial"/>
                <w:b w:val="0"/>
                <w:sz w:val="22"/>
                <w:szCs w:val="22"/>
                <w:lang w:val="nl-BE"/>
              </w:rPr>
              <w:t>die</w:t>
            </w:r>
            <w:proofErr w:type="gramEnd"/>
            <w:r w:rsidRPr="00071EA1">
              <w:rPr>
                <w:rFonts w:ascii="Calibri" w:hAnsi="Calibri" w:cs="Arial"/>
                <w:b w:val="0"/>
                <w:sz w:val="22"/>
                <w:szCs w:val="22"/>
                <w:lang w:val="nl-BE"/>
              </w:rPr>
              <w:t xml:space="preserve"> een uitkering van het ziekenfonds geniet (na de periode van erkenning van het ongeval) heeft recht op de aanvullende vergoeding, zonder wachtperiode van 30 dagen.</w:t>
            </w:r>
          </w:p>
          <w:p w:rsidR="001F04B1" w:rsidRDefault="001F04B1" w:rsidP="00106FAE">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nl-BE"/>
              </w:rPr>
            </w:pPr>
            <w:r w:rsidRPr="00071EA1">
              <w:rPr>
                <w:rFonts w:ascii="Calibri" w:hAnsi="Calibri" w:cs="Arial"/>
                <w:b w:val="0"/>
                <w:sz w:val="22"/>
                <w:szCs w:val="22"/>
                <w:lang w:val="nl-BE"/>
              </w:rPr>
              <w:t>Wordt als herval beschouwd, een arbeidsongeschiktheid die plaatsgrijpt binnen de 14 dagen volgend op het einde van een periode van arbeidsongeschiktheid die aanleiding gaf tot de bet</w:t>
            </w:r>
            <w:r>
              <w:rPr>
                <w:rFonts w:ascii="Calibri" w:hAnsi="Calibri" w:cs="Arial"/>
                <w:b w:val="0"/>
                <w:sz w:val="22"/>
                <w:szCs w:val="22"/>
                <w:lang w:val="nl-BE"/>
              </w:rPr>
              <w:t>aling van het gewaarborgd loon.</w:t>
            </w:r>
          </w:p>
          <w:p w:rsidR="001F04B1" w:rsidRDefault="001F04B1" w:rsidP="00106FAE">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nl-BE"/>
              </w:rPr>
            </w:pPr>
            <w:r w:rsidRPr="00071EA1">
              <w:rPr>
                <w:rFonts w:ascii="Calibri" w:hAnsi="Calibri" w:cs="Arial"/>
                <w:b w:val="0"/>
                <w:sz w:val="22"/>
                <w:szCs w:val="22"/>
                <w:lang w:val="nl-BE"/>
              </w:rPr>
              <w:t>Het Fonds zal deze twee periodes beschouwen als één enkele periode, zonder wachtperiode voor de tweede.</w:t>
            </w:r>
          </w:p>
          <w:p w:rsidR="00777BC0" w:rsidRPr="00071EA1" w:rsidRDefault="00777BC0" w:rsidP="00106FAE">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nl-BE"/>
              </w:rPr>
            </w:pPr>
          </w:p>
        </w:tc>
        <w:tc>
          <w:tcPr>
            <w:tcW w:w="4536" w:type="dxa"/>
          </w:tcPr>
          <w:p w:rsidR="001F04B1" w:rsidRPr="00071EA1" w:rsidRDefault="001F04B1"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bCs/>
                <w:sz w:val="22"/>
                <w:szCs w:val="22"/>
                <w:lang w:val="fr-BE"/>
              </w:rPr>
            </w:pPr>
            <w:r w:rsidRPr="00071EA1">
              <w:rPr>
                <w:rFonts w:ascii="Calibri" w:hAnsi="Calibri" w:cs="Arial"/>
                <w:b w:val="0"/>
                <w:bCs/>
                <w:sz w:val="22"/>
                <w:szCs w:val="22"/>
                <w:lang w:val="fr-BE"/>
              </w:rPr>
              <w:t xml:space="preserve">L'ouvrier, victime d'un accident de travail, qui passe au système de mutuelle (après la période de reconnaissance de son accident) </w:t>
            </w:r>
            <w:proofErr w:type="gramStart"/>
            <w:r w:rsidRPr="00071EA1">
              <w:rPr>
                <w:rFonts w:ascii="Calibri" w:hAnsi="Calibri" w:cs="Arial"/>
                <w:b w:val="0"/>
                <w:bCs/>
                <w:sz w:val="22"/>
                <w:szCs w:val="22"/>
                <w:lang w:val="fr-BE"/>
              </w:rPr>
              <w:t>a</w:t>
            </w:r>
            <w:proofErr w:type="gramEnd"/>
            <w:r w:rsidRPr="00071EA1">
              <w:rPr>
                <w:rFonts w:ascii="Calibri" w:hAnsi="Calibri" w:cs="Arial"/>
                <w:b w:val="0"/>
                <w:bCs/>
                <w:sz w:val="22"/>
                <w:szCs w:val="22"/>
                <w:lang w:val="fr-BE"/>
              </w:rPr>
              <w:t xml:space="preserve"> droit à l'allocation complémentaire, sans période d'attente de trente jours.</w:t>
            </w:r>
            <w:r w:rsidRPr="00071EA1">
              <w:rPr>
                <w:rFonts w:ascii="Calibri" w:hAnsi="Calibri" w:cs="Arial"/>
                <w:b w:val="0"/>
                <w:bCs/>
                <w:sz w:val="22"/>
                <w:szCs w:val="22"/>
                <w:lang w:val="fr-BE"/>
              </w:rPr>
              <w:br/>
            </w:r>
          </w:p>
          <w:p w:rsidR="001F04B1" w:rsidRDefault="001F04B1" w:rsidP="00106FAE">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bCs/>
                <w:sz w:val="22"/>
                <w:szCs w:val="22"/>
                <w:lang w:val="fr-BE"/>
              </w:rPr>
            </w:pPr>
            <w:r w:rsidRPr="00071EA1">
              <w:rPr>
                <w:rFonts w:ascii="Calibri" w:hAnsi="Calibri" w:cs="Arial"/>
                <w:b w:val="0"/>
                <w:bCs/>
                <w:sz w:val="22"/>
                <w:szCs w:val="22"/>
                <w:lang w:val="fr-BE"/>
              </w:rPr>
              <w:t>Est considérée comme rechute, une nouvelle incapacité de travail survenue dans les 14 jours qui suivent la fin d'une période d'incapacité de travail ayant donné lieu a</w:t>
            </w:r>
            <w:r>
              <w:rPr>
                <w:rFonts w:ascii="Calibri" w:hAnsi="Calibri" w:cs="Arial"/>
                <w:b w:val="0"/>
                <w:bCs/>
                <w:sz w:val="22"/>
                <w:szCs w:val="22"/>
                <w:lang w:val="fr-BE"/>
              </w:rPr>
              <w:t>u paiement du salaire garanti.</w:t>
            </w:r>
            <w:r w:rsidR="00777BC0">
              <w:rPr>
                <w:rFonts w:ascii="Calibri" w:hAnsi="Calibri" w:cs="Arial"/>
                <w:b w:val="0"/>
                <w:bCs/>
                <w:sz w:val="22"/>
                <w:szCs w:val="22"/>
                <w:lang w:val="fr-BE"/>
              </w:rPr>
              <w:br/>
            </w:r>
          </w:p>
          <w:p w:rsidR="001F04B1" w:rsidRPr="00071EA1" w:rsidRDefault="001F04B1" w:rsidP="00106FAE">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bCs/>
                <w:sz w:val="22"/>
                <w:szCs w:val="22"/>
                <w:lang w:val="fr-BE"/>
              </w:rPr>
            </w:pPr>
            <w:r w:rsidRPr="00071EA1">
              <w:rPr>
                <w:rFonts w:ascii="Calibri" w:hAnsi="Calibri" w:cs="Arial"/>
                <w:b w:val="0"/>
                <w:bCs/>
                <w:sz w:val="22"/>
                <w:szCs w:val="22"/>
                <w:lang w:val="fr-BE"/>
              </w:rPr>
              <w:t>Le Fonds considérera alors les deux périodes comme une seule, sans période d'attente pour la deuxième.</w:t>
            </w:r>
          </w:p>
        </w:tc>
      </w:tr>
      <w:tr w:rsidR="001F04B1" w:rsidRPr="00071EA1">
        <w:tc>
          <w:tcPr>
            <w:tcW w:w="4536" w:type="dxa"/>
          </w:tcPr>
          <w:p w:rsidR="001F04B1" w:rsidRPr="00071EA1" w:rsidRDefault="001F04B1"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nl-BE"/>
              </w:rPr>
            </w:pPr>
            <w:r w:rsidRPr="00071EA1">
              <w:rPr>
                <w:rFonts w:ascii="Calibri" w:hAnsi="Calibri" w:cs="Arial"/>
                <w:b w:val="0"/>
                <w:sz w:val="22"/>
                <w:szCs w:val="22"/>
                <w:lang w:val="nl-BE"/>
              </w:rPr>
              <w:lastRenderedPageBreak/>
              <w:t>§ 4. Indien de arbeider, om redenen eigen aan de ziekteuitkering, geen recht heeft op een vergoeding van de mutualiteit, dan wordt de aanvraag geval per geval onderzocht door het Waarborg- en sociaal fonds voor de handel in voedingswaren.</w:t>
            </w:r>
          </w:p>
        </w:tc>
        <w:tc>
          <w:tcPr>
            <w:tcW w:w="4536" w:type="dxa"/>
          </w:tcPr>
          <w:p w:rsidR="001F04B1" w:rsidRPr="00071EA1" w:rsidRDefault="001F04B1"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fr-BE"/>
              </w:rPr>
            </w:pPr>
            <w:r w:rsidRPr="00071EA1">
              <w:rPr>
                <w:rFonts w:ascii="Calibri" w:hAnsi="Calibri" w:cs="Arial"/>
                <w:b w:val="0"/>
                <w:sz w:val="22"/>
                <w:szCs w:val="22"/>
                <w:lang w:val="fr-BE"/>
              </w:rPr>
              <w:t>§ 4. Si l’ouvrier n’a pas droit aux indemnités de la mutualité pour une raison propre à l’assurance maladie, la demande sera examinée au cas par cas par le Fonds Social et de Garantie du commerce alimentaire.</w:t>
            </w:r>
          </w:p>
        </w:tc>
      </w:tr>
      <w:tr w:rsidR="001F04B1" w:rsidRPr="00071EA1" w:rsidTr="00777BC0">
        <w:trPr>
          <w:trHeight w:val="697"/>
        </w:trPr>
        <w:tc>
          <w:tcPr>
            <w:tcW w:w="4536" w:type="dxa"/>
          </w:tcPr>
          <w:p w:rsidR="001F04B1" w:rsidRPr="00071EA1" w:rsidRDefault="001F04B1"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iCs/>
                <w:snapToGrid/>
                <w:color w:val="auto"/>
                <w:spacing w:val="0"/>
                <w:sz w:val="22"/>
                <w:szCs w:val="22"/>
                <w:lang w:val="nl-BE" w:eastAsia="en-US"/>
              </w:rPr>
            </w:pPr>
            <w:r w:rsidRPr="00071EA1">
              <w:rPr>
                <w:rFonts w:ascii="Calibri" w:hAnsi="Calibri" w:cs="Arial"/>
                <w:iCs/>
                <w:color w:val="auto"/>
                <w:sz w:val="22"/>
                <w:szCs w:val="22"/>
                <w:lang w:val="nl-BE"/>
              </w:rPr>
              <w:t>HOOFDSTUK 5 – BEEINDIGING VAN DE ARBEIDSOVEREENKOMST WEGENS OVERMACHT</w:t>
            </w:r>
          </w:p>
        </w:tc>
        <w:tc>
          <w:tcPr>
            <w:tcW w:w="4536" w:type="dxa"/>
          </w:tcPr>
          <w:p w:rsidR="001F04B1" w:rsidRPr="00071EA1" w:rsidRDefault="001F04B1"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Cs/>
                <w:snapToGrid/>
                <w:color w:val="auto"/>
                <w:spacing w:val="0"/>
                <w:sz w:val="22"/>
                <w:szCs w:val="22"/>
                <w:lang w:val="fr-BE" w:eastAsia="en-US"/>
              </w:rPr>
            </w:pPr>
            <w:r w:rsidRPr="00071EA1">
              <w:rPr>
                <w:rFonts w:ascii="Calibri" w:hAnsi="Calibri" w:cs="Arial"/>
                <w:bCs/>
                <w:snapToGrid/>
                <w:color w:val="auto"/>
                <w:spacing w:val="0"/>
                <w:sz w:val="22"/>
                <w:szCs w:val="22"/>
                <w:lang w:val="fr-BE" w:eastAsia="en-US"/>
              </w:rPr>
              <w:t>CHAPITRE 5 – FIN DU CONTRAT DE TRAVAIL POUR CAUSE DE FORCE MAJEURE</w:t>
            </w:r>
          </w:p>
        </w:tc>
      </w:tr>
      <w:tr w:rsidR="001F04B1" w:rsidRPr="00071EA1" w:rsidTr="007F0065">
        <w:tc>
          <w:tcPr>
            <w:tcW w:w="4536" w:type="dxa"/>
          </w:tcPr>
          <w:p w:rsidR="001F04B1" w:rsidRPr="00071EA1" w:rsidRDefault="001F04B1"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 w:val="0"/>
                <w:color w:val="auto"/>
                <w:sz w:val="22"/>
                <w:szCs w:val="22"/>
                <w:lang w:val="nl-BE"/>
              </w:rPr>
            </w:pPr>
            <w:r w:rsidRPr="00071EA1">
              <w:rPr>
                <w:rFonts w:ascii="Calibri" w:hAnsi="Calibri" w:cs="Arial"/>
                <w:b w:val="0"/>
                <w:i/>
                <w:iCs/>
                <w:color w:val="auto"/>
                <w:sz w:val="22"/>
                <w:szCs w:val="22"/>
                <w:lang w:val="nl-BE"/>
              </w:rPr>
              <w:t>Artikel 5 -</w:t>
            </w:r>
            <w:r w:rsidRPr="00071EA1">
              <w:rPr>
                <w:rFonts w:ascii="Calibri" w:hAnsi="Calibri" w:cs="Arial"/>
                <w:b w:val="0"/>
                <w:color w:val="auto"/>
                <w:sz w:val="22"/>
                <w:szCs w:val="22"/>
                <w:lang w:val="nl-BE"/>
              </w:rPr>
              <w:t xml:space="preserve"> § 1. Het Waarborg- en sociaal fonds van de Handel in Voedingswaren kent aan de arbeiders wier arbeidsovereenkomst ten einde kwam wegens overmacht, een aanvullende uitkering toe van </w:t>
            </w:r>
            <w:r>
              <w:rPr>
                <w:rFonts w:ascii="Calibri" w:hAnsi="Calibri" w:cs="Arial"/>
                <w:b w:val="0"/>
                <w:color w:val="auto"/>
                <w:sz w:val="22"/>
                <w:szCs w:val="22"/>
                <w:lang w:val="nl-BE"/>
              </w:rPr>
              <w:t>3,60</w:t>
            </w:r>
            <w:r w:rsidRPr="00071EA1">
              <w:rPr>
                <w:rFonts w:ascii="Calibri" w:hAnsi="Calibri" w:cs="Arial"/>
                <w:b w:val="0"/>
                <w:color w:val="auto"/>
                <w:sz w:val="22"/>
                <w:szCs w:val="22"/>
                <w:lang w:val="nl-BE"/>
              </w:rPr>
              <w:t xml:space="preserve"> euro per dag bovenop de werkloosheidsuitkering of ziekteuitkering gedurende 60 dagen na het einde van de overeenkomst.</w:t>
            </w:r>
          </w:p>
          <w:p w:rsidR="001F04B1" w:rsidRPr="00071EA1" w:rsidRDefault="001F04B1"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 w:val="0"/>
                <w:color w:val="auto"/>
                <w:sz w:val="22"/>
                <w:szCs w:val="22"/>
                <w:lang w:val="nl-BE"/>
              </w:rPr>
            </w:pPr>
            <w:r w:rsidRPr="00071EA1">
              <w:rPr>
                <w:rFonts w:ascii="Calibri" w:hAnsi="Calibri" w:cs="Verdana"/>
                <w:b w:val="0"/>
                <w:bCs/>
                <w:snapToGrid/>
                <w:color w:val="auto"/>
                <w:spacing w:val="0"/>
                <w:sz w:val="22"/>
                <w:szCs w:val="22"/>
                <w:lang w:val="nl-BE" w:eastAsia="en-US"/>
              </w:rPr>
              <w:t xml:space="preserve">Voor deeltijdse arbeiders wordt de </w:t>
            </w:r>
            <w:r w:rsidRPr="00071EA1">
              <w:rPr>
                <w:rFonts w:ascii="Calibri" w:hAnsi="Calibri" w:cs="Arial"/>
                <w:b w:val="0"/>
                <w:bCs/>
                <w:snapToGrid/>
                <w:color w:val="auto"/>
                <w:spacing w:val="0"/>
                <w:sz w:val="22"/>
                <w:szCs w:val="22"/>
                <w:lang w:val="nl-BE" w:eastAsia="en-US"/>
              </w:rPr>
              <w:t>tussenkomst van het sociaal fonds berekend naar rata van de arbeidstijd.</w:t>
            </w:r>
          </w:p>
        </w:tc>
        <w:tc>
          <w:tcPr>
            <w:tcW w:w="4536" w:type="dxa"/>
          </w:tcPr>
          <w:p w:rsidR="001F04B1" w:rsidRPr="00071EA1" w:rsidRDefault="001F04B1"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 w:val="0"/>
                <w:color w:val="auto"/>
                <w:sz w:val="22"/>
                <w:szCs w:val="22"/>
                <w:lang w:val="fr-BE"/>
              </w:rPr>
            </w:pPr>
            <w:r w:rsidRPr="00071EA1">
              <w:rPr>
                <w:rFonts w:ascii="Calibri" w:hAnsi="Calibri" w:cs="Arial"/>
                <w:b w:val="0"/>
                <w:i/>
                <w:iCs/>
                <w:color w:val="auto"/>
                <w:sz w:val="22"/>
                <w:szCs w:val="22"/>
                <w:lang w:val="fr-BE"/>
              </w:rPr>
              <w:t>Article 5 -</w:t>
            </w:r>
            <w:r w:rsidRPr="00071EA1">
              <w:rPr>
                <w:rFonts w:ascii="Calibri" w:hAnsi="Calibri" w:cs="Arial"/>
                <w:b w:val="0"/>
                <w:color w:val="auto"/>
                <w:sz w:val="22"/>
                <w:szCs w:val="22"/>
                <w:lang w:val="fr-BE"/>
              </w:rPr>
              <w:t xml:space="preserve"> § 1. Le Fonds Social et de Garantie du Commerce Alimentaire accorde aux ouvriers dont le contrat de travail a pris fin pour cause de force majeure, une allocation complémentaire à l’allocation de chômage ou à l’indemnité de maladie de </w:t>
            </w:r>
            <w:r>
              <w:rPr>
                <w:rFonts w:ascii="Calibri" w:hAnsi="Calibri" w:cs="Arial"/>
                <w:b w:val="0"/>
                <w:color w:val="auto"/>
                <w:sz w:val="22"/>
                <w:szCs w:val="22"/>
                <w:lang w:val="fr-BE"/>
              </w:rPr>
              <w:t>3,60</w:t>
            </w:r>
            <w:r w:rsidRPr="00071EA1">
              <w:rPr>
                <w:rFonts w:ascii="Calibri" w:hAnsi="Calibri" w:cs="Arial"/>
                <w:b w:val="0"/>
                <w:color w:val="auto"/>
                <w:sz w:val="22"/>
                <w:szCs w:val="22"/>
                <w:lang w:val="fr-BE"/>
              </w:rPr>
              <w:t xml:space="preserve"> euros par jour pendant 60 jours à compter à partir de la fin du contrat de travail.</w:t>
            </w:r>
            <w:r w:rsidR="00777BC0">
              <w:rPr>
                <w:rFonts w:ascii="Calibri" w:hAnsi="Calibri" w:cs="Arial"/>
                <w:b w:val="0"/>
                <w:color w:val="auto"/>
                <w:sz w:val="22"/>
                <w:szCs w:val="22"/>
                <w:lang w:val="fr-BE"/>
              </w:rPr>
              <w:br/>
            </w:r>
          </w:p>
          <w:p w:rsidR="001F04B1" w:rsidRPr="00071EA1" w:rsidRDefault="001F04B1"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 w:val="0"/>
                <w:color w:val="auto"/>
                <w:sz w:val="22"/>
                <w:szCs w:val="22"/>
                <w:lang w:val="fr-BE"/>
              </w:rPr>
            </w:pPr>
            <w:r w:rsidRPr="00071EA1">
              <w:rPr>
                <w:rFonts w:ascii="Calibri" w:hAnsi="Calibri" w:cs="Verdana"/>
                <w:b w:val="0"/>
                <w:snapToGrid/>
                <w:color w:val="auto"/>
                <w:spacing w:val="0"/>
                <w:sz w:val="22"/>
                <w:szCs w:val="22"/>
                <w:lang w:val="fr-BE" w:eastAsia="en-US"/>
              </w:rPr>
              <w:t>Pour les ouvriers à temps partiel, l</w:t>
            </w:r>
            <w:r w:rsidRPr="00071EA1">
              <w:rPr>
                <w:rFonts w:ascii="Calibri" w:hAnsi="Calibri" w:cs="Arial"/>
                <w:b w:val="0"/>
                <w:snapToGrid/>
                <w:color w:val="auto"/>
                <w:spacing w:val="0"/>
                <w:sz w:val="22"/>
                <w:szCs w:val="22"/>
                <w:lang w:val="fr-BE" w:eastAsia="en-US"/>
              </w:rPr>
              <w:t>'intervention du Fonds social se calcule au prorata du temps de travail.</w:t>
            </w:r>
          </w:p>
        </w:tc>
      </w:tr>
      <w:tr w:rsidR="001F04B1" w:rsidRPr="00071EA1" w:rsidTr="007F0065">
        <w:tc>
          <w:tcPr>
            <w:tcW w:w="4536" w:type="dxa"/>
          </w:tcPr>
          <w:p w:rsidR="00F15DFE" w:rsidRPr="00F15DFE" w:rsidRDefault="00F15DFE"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bCs/>
                <w:sz w:val="22"/>
                <w:szCs w:val="22"/>
                <w:lang w:val="nl-BE"/>
              </w:rPr>
            </w:pPr>
            <w:r w:rsidRPr="00F15DFE">
              <w:rPr>
                <w:rFonts w:ascii="Calibri" w:hAnsi="Calibri" w:cs="Arial"/>
                <w:b w:val="0"/>
                <w:sz w:val="22"/>
                <w:szCs w:val="22"/>
                <w:lang w:val="nl-BE"/>
              </w:rPr>
              <w:t>§ 2. Vanaf 1 januari 2014, wordt de dagvergoeding vermeld in § 1, gebracht op 3,80 euro.</w:t>
            </w:r>
          </w:p>
          <w:p w:rsidR="001F04B1" w:rsidRPr="00071EA1" w:rsidRDefault="001F04B1" w:rsidP="00854DB6">
            <w:pPr>
              <w:pStyle w:val="BodyText"/>
              <w:tabs>
                <w:tab w:val="clear" w:pos="288"/>
                <w:tab w:val="clear" w:pos="460"/>
                <w:tab w:val="clear" w:pos="633"/>
                <w:tab w:val="clear" w:pos="806"/>
                <w:tab w:val="clear" w:pos="979"/>
                <w:tab w:val="clear" w:pos="1152"/>
                <w:tab w:val="clear" w:pos="2304"/>
                <w:tab w:val="clear" w:pos="6336"/>
              </w:tabs>
              <w:spacing w:before="120" w:after="120"/>
              <w:rPr>
                <w:rFonts w:ascii="Calibri" w:hAnsi="Calibri" w:cs="Arial"/>
                <w:b w:val="0"/>
                <w:sz w:val="22"/>
                <w:szCs w:val="22"/>
                <w:lang w:val="nl-BE"/>
              </w:rPr>
            </w:pPr>
            <w:r w:rsidRPr="00071EA1">
              <w:rPr>
                <w:rFonts w:ascii="Calibri" w:hAnsi="Calibri" w:cs="Arial"/>
                <w:b w:val="0"/>
                <w:bCs/>
                <w:sz w:val="22"/>
                <w:szCs w:val="22"/>
                <w:lang w:val="nl-BE"/>
              </w:rPr>
              <w:t xml:space="preserve">§ 3. De toekenningsmodaliteiten van de aanvullende uitkering luiden als </w:t>
            </w:r>
            <w:proofErr w:type="gramStart"/>
            <w:r w:rsidRPr="00071EA1">
              <w:rPr>
                <w:rFonts w:ascii="Calibri" w:hAnsi="Calibri" w:cs="Arial"/>
                <w:b w:val="0"/>
                <w:bCs/>
                <w:sz w:val="22"/>
                <w:szCs w:val="22"/>
                <w:lang w:val="nl-BE"/>
              </w:rPr>
              <w:t>volgt :</w:t>
            </w:r>
            <w:proofErr w:type="gramEnd"/>
          </w:p>
          <w:p w:rsidR="001F04B1" w:rsidRPr="00071EA1" w:rsidRDefault="001F04B1"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 w:val="0"/>
                <w:color w:val="auto"/>
                <w:sz w:val="22"/>
                <w:szCs w:val="22"/>
                <w:lang w:val="nl-BE"/>
              </w:rPr>
            </w:pPr>
            <w:r w:rsidRPr="00071EA1">
              <w:rPr>
                <w:rFonts w:ascii="Calibri" w:hAnsi="Calibri" w:cs="Arial"/>
                <w:b w:val="0"/>
                <w:bCs/>
                <w:snapToGrid/>
                <w:color w:val="auto"/>
                <w:spacing w:val="0"/>
                <w:sz w:val="22"/>
                <w:szCs w:val="22"/>
                <w:lang w:val="nl-BE" w:eastAsia="en-US"/>
              </w:rPr>
              <w:t>De arbeidsovereenkomst van de arbeider moet wegens overmacht verbroken worden. Er is sprake van overmacht bij de beëindiging van de arbeidsovereenkomst omwille van definitieve arbeidsongeschiktheid.</w:t>
            </w:r>
          </w:p>
        </w:tc>
        <w:tc>
          <w:tcPr>
            <w:tcW w:w="4536" w:type="dxa"/>
          </w:tcPr>
          <w:p w:rsidR="00F15DFE" w:rsidRPr="00684F6F" w:rsidRDefault="00F15DFE"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 w:val="0"/>
                <w:color w:val="auto"/>
                <w:sz w:val="22"/>
                <w:szCs w:val="22"/>
                <w:lang w:val="fr-BE"/>
              </w:rPr>
            </w:pPr>
            <w:r w:rsidRPr="00684F6F">
              <w:rPr>
                <w:rFonts w:ascii="Calibri" w:hAnsi="Calibri" w:cs="Arial"/>
                <w:b w:val="0"/>
                <w:color w:val="auto"/>
                <w:sz w:val="22"/>
                <w:szCs w:val="22"/>
                <w:lang w:val="fr-BE"/>
              </w:rPr>
              <w:t xml:space="preserve">§ 2. </w:t>
            </w:r>
            <w:r w:rsidR="00684F6F" w:rsidRPr="00684F6F">
              <w:rPr>
                <w:rFonts w:ascii="Calibri" w:hAnsi="Calibri" w:cs="Arial"/>
                <w:b w:val="0"/>
                <w:color w:val="auto"/>
                <w:sz w:val="22"/>
                <w:szCs w:val="22"/>
                <w:lang w:val="fr-BE"/>
              </w:rPr>
              <w:t>A partir du 1er juillet 20</w:t>
            </w:r>
            <w:r w:rsidR="00684F6F">
              <w:rPr>
                <w:rFonts w:ascii="Calibri" w:hAnsi="Calibri" w:cs="Arial"/>
                <w:b w:val="0"/>
                <w:color w:val="auto"/>
                <w:sz w:val="22"/>
                <w:szCs w:val="22"/>
                <w:lang w:val="fr-BE"/>
              </w:rPr>
              <w:t>14</w:t>
            </w:r>
            <w:r w:rsidR="00684F6F" w:rsidRPr="00684F6F">
              <w:rPr>
                <w:rFonts w:ascii="Calibri" w:hAnsi="Calibri" w:cs="Arial"/>
                <w:b w:val="0"/>
                <w:color w:val="auto"/>
                <w:sz w:val="22"/>
                <w:szCs w:val="22"/>
                <w:lang w:val="fr-BE"/>
              </w:rPr>
              <w:t>, l’indemnité journalière mentionnée au § 1 est portée à 3,</w:t>
            </w:r>
            <w:r w:rsidR="00684F6F">
              <w:rPr>
                <w:rFonts w:ascii="Calibri" w:hAnsi="Calibri" w:cs="Arial"/>
                <w:b w:val="0"/>
                <w:color w:val="auto"/>
                <w:sz w:val="22"/>
                <w:szCs w:val="22"/>
                <w:lang w:val="fr-BE"/>
              </w:rPr>
              <w:t>80</w:t>
            </w:r>
            <w:r w:rsidR="00684F6F" w:rsidRPr="00684F6F">
              <w:rPr>
                <w:rFonts w:ascii="Calibri" w:hAnsi="Calibri" w:cs="Arial"/>
                <w:b w:val="0"/>
                <w:color w:val="auto"/>
                <w:sz w:val="22"/>
                <w:szCs w:val="22"/>
                <w:lang w:val="fr-BE"/>
              </w:rPr>
              <w:t> euros</w:t>
            </w:r>
            <w:r w:rsidRPr="00684F6F">
              <w:rPr>
                <w:rFonts w:ascii="Calibri" w:hAnsi="Calibri" w:cs="Arial"/>
                <w:b w:val="0"/>
                <w:color w:val="auto"/>
                <w:sz w:val="22"/>
                <w:szCs w:val="22"/>
                <w:lang w:val="fr-BE"/>
              </w:rPr>
              <w:t>.</w:t>
            </w:r>
          </w:p>
          <w:p w:rsidR="001F04B1" w:rsidRPr="00071EA1" w:rsidRDefault="001F04B1"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 w:val="0"/>
                <w:color w:val="auto"/>
                <w:sz w:val="22"/>
                <w:szCs w:val="22"/>
                <w:lang w:val="fr-BE"/>
              </w:rPr>
            </w:pPr>
            <w:r w:rsidRPr="00071EA1">
              <w:rPr>
                <w:rFonts w:ascii="Calibri" w:hAnsi="Calibri" w:cs="Arial"/>
                <w:b w:val="0"/>
                <w:color w:val="auto"/>
                <w:sz w:val="22"/>
                <w:szCs w:val="22"/>
                <w:lang w:val="fr-BE"/>
              </w:rPr>
              <w:t>§ 3. Les modalités de l’indemnité complémentaire sont les suivantes :</w:t>
            </w:r>
          </w:p>
          <w:p w:rsidR="001F04B1" w:rsidRPr="00071EA1" w:rsidRDefault="001F04B1"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 w:val="0"/>
                <w:color w:val="auto"/>
                <w:sz w:val="22"/>
                <w:szCs w:val="22"/>
                <w:lang w:val="fr-BE"/>
              </w:rPr>
            </w:pPr>
            <w:r w:rsidRPr="00071EA1">
              <w:rPr>
                <w:rFonts w:ascii="Calibri" w:hAnsi="Calibri" w:cs="Arial"/>
                <w:b w:val="0"/>
                <w:snapToGrid/>
                <w:color w:val="auto"/>
                <w:spacing w:val="0"/>
                <w:sz w:val="22"/>
                <w:szCs w:val="22"/>
                <w:lang w:val="fr-BE" w:eastAsia="en-US"/>
              </w:rPr>
              <w:t>Le contrat de l'ouvrier doit être rompu pour force majeure. On entend par force majeure la rupture du contrat de travail suite à une incapacité de travail définitive.</w:t>
            </w:r>
          </w:p>
        </w:tc>
      </w:tr>
      <w:tr w:rsidR="001F04B1" w:rsidRPr="00071EA1" w:rsidTr="007F0065">
        <w:tc>
          <w:tcPr>
            <w:tcW w:w="4536" w:type="dxa"/>
          </w:tcPr>
          <w:p w:rsidR="001F04B1" w:rsidRPr="00071EA1" w:rsidRDefault="001F04B1"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 w:val="0"/>
                <w:color w:val="auto"/>
                <w:sz w:val="22"/>
                <w:szCs w:val="22"/>
                <w:lang w:val="nl-BE"/>
              </w:rPr>
            </w:pPr>
            <w:r w:rsidRPr="00071EA1">
              <w:rPr>
                <w:rFonts w:ascii="Calibri" w:hAnsi="Calibri" w:cs="Arial"/>
                <w:b w:val="0"/>
                <w:color w:val="auto"/>
                <w:sz w:val="22"/>
                <w:szCs w:val="22"/>
                <w:lang w:val="nl-BE"/>
              </w:rPr>
              <w:t>Deze uitkering is niet cumuleerbaar met de uitkering wegens langdurige ziekte uit het vorige hoofdstuk. Indien de arbeider geniet van de toeslag bij langdurige ziekte voordat hij definitief arbeidsongeschikt verklaard wordt, zal de toeslag bij overmacht alleen voor het saldo van de 60 dagen uitbetaald worden (60 dagen verminderd met het aantal uitbetaalde dagen voor langdurige ziekte).</w:t>
            </w:r>
          </w:p>
        </w:tc>
        <w:tc>
          <w:tcPr>
            <w:tcW w:w="4536" w:type="dxa"/>
          </w:tcPr>
          <w:p w:rsidR="001F04B1" w:rsidRDefault="001F04B1"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 w:val="0"/>
                <w:color w:val="auto"/>
                <w:sz w:val="22"/>
                <w:szCs w:val="22"/>
                <w:lang w:val="fr-BE"/>
              </w:rPr>
            </w:pPr>
            <w:r w:rsidRPr="00071EA1">
              <w:rPr>
                <w:rFonts w:ascii="Calibri" w:hAnsi="Calibri" w:cs="Arial"/>
                <w:b w:val="0"/>
                <w:color w:val="auto"/>
                <w:sz w:val="22"/>
                <w:szCs w:val="22"/>
                <w:lang w:val="fr-BE"/>
              </w:rPr>
              <w:t>Cette allocation n’est pas cumulable avec l’allocation en cas de maladie de longue durée, prévue au chapitre précédent. Si l'ouvrier a bénéficié de l'allocation complémentaire en cas de maladie de longue durée avant d'être déclaré définitivement inapte au travail, l'allocation pour force majeure ne sera octroyée que pour le solde des 60 jours (60 jours diminués du nombre de jours déjà indemnisés pour maladie de longue durée).</w:t>
            </w:r>
          </w:p>
          <w:p w:rsidR="00777BC0" w:rsidRDefault="00777BC0"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 w:val="0"/>
                <w:color w:val="auto"/>
                <w:sz w:val="22"/>
                <w:szCs w:val="22"/>
                <w:lang w:val="fr-BE"/>
              </w:rPr>
            </w:pPr>
          </w:p>
          <w:p w:rsidR="00777BC0" w:rsidRPr="00071EA1" w:rsidRDefault="00777BC0"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 w:val="0"/>
                <w:color w:val="auto"/>
                <w:sz w:val="22"/>
                <w:szCs w:val="22"/>
                <w:lang w:val="fr-BE"/>
              </w:rPr>
            </w:pPr>
          </w:p>
        </w:tc>
      </w:tr>
      <w:tr w:rsidR="001F04B1" w:rsidRPr="00071EA1" w:rsidTr="007F0065">
        <w:tc>
          <w:tcPr>
            <w:tcW w:w="4536" w:type="dxa"/>
          </w:tcPr>
          <w:p w:rsidR="001F04B1" w:rsidRPr="00071EA1" w:rsidRDefault="001F04B1"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Cs/>
                <w:snapToGrid/>
                <w:color w:val="auto"/>
                <w:spacing w:val="0"/>
                <w:sz w:val="22"/>
                <w:szCs w:val="22"/>
                <w:lang w:val="nl-BE" w:eastAsia="en-US"/>
              </w:rPr>
            </w:pPr>
            <w:r w:rsidRPr="00071EA1">
              <w:rPr>
                <w:rFonts w:ascii="Calibri" w:hAnsi="Calibri" w:cs="Arial"/>
                <w:bCs/>
                <w:snapToGrid/>
                <w:color w:val="auto"/>
                <w:spacing w:val="0"/>
                <w:sz w:val="22"/>
                <w:szCs w:val="22"/>
                <w:lang w:val="nl-BE" w:eastAsia="en-US"/>
              </w:rPr>
              <w:lastRenderedPageBreak/>
              <w:t>HOOFDSTUK 6 - SLOTBEPALINGEN</w:t>
            </w:r>
            <w:r w:rsidRPr="00071EA1">
              <w:rPr>
                <w:rFonts w:ascii="Calibri" w:hAnsi="Calibri" w:cs="Arial"/>
                <w:b w:val="0"/>
                <w:i/>
                <w:iCs/>
                <w:snapToGrid/>
                <w:color w:val="auto"/>
                <w:spacing w:val="0"/>
                <w:sz w:val="22"/>
                <w:szCs w:val="22"/>
                <w:lang w:val="nl-BE" w:eastAsia="en-US"/>
              </w:rPr>
              <w:t xml:space="preserve"> </w:t>
            </w:r>
          </w:p>
        </w:tc>
        <w:tc>
          <w:tcPr>
            <w:tcW w:w="4536" w:type="dxa"/>
          </w:tcPr>
          <w:p w:rsidR="001F04B1" w:rsidRPr="00071EA1" w:rsidRDefault="001F04B1" w:rsidP="00854DB6">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Cs/>
                <w:snapToGrid/>
                <w:color w:val="auto"/>
                <w:spacing w:val="0"/>
                <w:sz w:val="22"/>
                <w:szCs w:val="22"/>
                <w:lang w:val="fr-BE" w:eastAsia="en-US"/>
              </w:rPr>
            </w:pPr>
            <w:r w:rsidRPr="00071EA1">
              <w:rPr>
                <w:rFonts w:ascii="Calibri" w:hAnsi="Calibri" w:cs="Arial"/>
                <w:bCs/>
                <w:snapToGrid/>
                <w:color w:val="auto"/>
                <w:spacing w:val="0"/>
                <w:sz w:val="22"/>
                <w:szCs w:val="22"/>
                <w:lang w:val="fr-BE" w:eastAsia="en-US"/>
              </w:rPr>
              <w:t>CHAPITRE 6 - DISPOSITIONS FINALES</w:t>
            </w:r>
          </w:p>
        </w:tc>
      </w:tr>
      <w:tr w:rsidR="001F04B1" w:rsidRPr="00071EA1" w:rsidTr="007F0065">
        <w:tc>
          <w:tcPr>
            <w:tcW w:w="4536" w:type="dxa"/>
          </w:tcPr>
          <w:p w:rsidR="00DD64CD" w:rsidRPr="00F15DFE" w:rsidRDefault="001F04B1" w:rsidP="001F04B1">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 w:val="0"/>
                <w:snapToGrid/>
                <w:color w:val="auto"/>
                <w:spacing w:val="0"/>
                <w:sz w:val="22"/>
                <w:szCs w:val="22"/>
                <w:lang w:val="nl-BE" w:eastAsia="en-US"/>
              </w:rPr>
            </w:pPr>
            <w:r w:rsidRPr="00F15DFE">
              <w:rPr>
                <w:rFonts w:ascii="Calibri" w:hAnsi="Calibri" w:cs="Arial"/>
                <w:b w:val="0"/>
                <w:i/>
                <w:iCs/>
                <w:snapToGrid/>
                <w:color w:val="auto"/>
                <w:spacing w:val="0"/>
                <w:sz w:val="22"/>
                <w:szCs w:val="22"/>
                <w:lang w:val="nl-BE" w:eastAsia="en-US"/>
              </w:rPr>
              <w:t xml:space="preserve">Artikel 6 - </w:t>
            </w:r>
            <w:r w:rsidRPr="00F15DFE">
              <w:rPr>
                <w:rFonts w:ascii="Calibri" w:hAnsi="Calibri" w:cs="Arial"/>
                <w:b w:val="0"/>
                <w:snapToGrid/>
                <w:color w:val="auto"/>
                <w:spacing w:val="0"/>
                <w:sz w:val="22"/>
                <w:szCs w:val="22"/>
                <w:lang w:val="nl-BE" w:eastAsia="en-US"/>
              </w:rPr>
              <w:t>Deze collectieve arbeidsovereenkomst treedt in werking op 1 november 2013 en houdt op van kracht te zijn op 30 juni 2015.</w:t>
            </w:r>
          </w:p>
          <w:p w:rsidR="00DD64CD" w:rsidRPr="00F15DFE" w:rsidRDefault="00DD64CD" w:rsidP="00DD64CD">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s="Arial"/>
                <w:b w:val="0"/>
                <w:snapToGrid/>
                <w:color w:val="auto"/>
                <w:spacing w:val="0"/>
                <w:sz w:val="22"/>
                <w:szCs w:val="22"/>
                <w:lang w:val="nl-BE" w:eastAsia="en-US"/>
              </w:rPr>
            </w:pPr>
            <w:r w:rsidRPr="00F15DFE">
              <w:rPr>
                <w:rFonts w:asciiTheme="minorHAnsi" w:hAnsiTheme="minorHAnsi"/>
                <w:b w:val="0"/>
                <w:color w:val="auto"/>
                <w:sz w:val="22"/>
                <w:szCs w:val="22"/>
                <w:lang w:val="nl-BE" w:eastAsia="nl-BE"/>
              </w:rPr>
              <w:t xml:space="preserve">Deze collectieve arbeidsovereenkomst vervangt de collectieve arbeidsovereenkomst van 5 juni 2013 betreffende de bestaanszekerheid, geregistreerd onder nummer </w:t>
            </w:r>
            <w:r w:rsidRPr="00F15DFE">
              <w:rPr>
                <w:rFonts w:asciiTheme="minorHAnsi" w:hAnsiTheme="minorHAnsi"/>
                <w:b w:val="0"/>
                <w:bCs/>
                <w:color w:val="auto"/>
                <w:sz w:val="22"/>
                <w:szCs w:val="22"/>
                <w:lang w:val="nl-BE" w:eastAsia="fr-BE"/>
              </w:rPr>
              <w:t>115882</w:t>
            </w:r>
            <w:r w:rsidRPr="00F15DFE">
              <w:rPr>
                <w:rFonts w:asciiTheme="minorHAnsi" w:hAnsiTheme="minorHAnsi"/>
                <w:b w:val="0"/>
                <w:color w:val="auto"/>
                <w:sz w:val="22"/>
                <w:szCs w:val="22"/>
                <w:lang w:val="nl-BE" w:eastAsia="nl-BE"/>
              </w:rPr>
              <w:t>/CO/119.</w:t>
            </w:r>
          </w:p>
        </w:tc>
        <w:tc>
          <w:tcPr>
            <w:tcW w:w="4536" w:type="dxa"/>
          </w:tcPr>
          <w:p w:rsidR="00DD64CD" w:rsidRDefault="001F04B1" w:rsidP="001F04B1">
            <w:pPr>
              <w:spacing w:before="120" w:after="120"/>
              <w:rPr>
                <w:rFonts w:ascii="Calibri" w:hAnsi="Calibri" w:cs="Arial"/>
                <w:sz w:val="22"/>
                <w:szCs w:val="22"/>
              </w:rPr>
            </w:pPr>
            <w:r w:rsidRPr="00071EA1">
              <w:rPr>
                <w:rFonts w:ascii="Calibri" w:hAnsi="Calibri" w:cs="Arial"/>
                <w:i/>
                <w:iCs/>
                <w:sz w:val="22"/>
                <w:szCs w:val="22"/>
              </w:rPr>
              <w:t>Article 6 -</w:t>
            </w:r>
            <w:r w:rsidRPr="00071EA1">
              <w:rPr>
                <w:rFonts w:ascii="Calibri" w:hAnsi="Calibri" w:cs="Arial"/>
                <w:sz w:val="22"/>
                <w:szCs w:val="22"/>
              </w:rPr>
              <w:t xml:space="preserve"> La présente convention collective de travail entre en vigueur le </w:t>
            </w:r>
            <w:r>
              <w:rPr>
                <w:rFonts w:ascii="Calibri" w:hAnsi="Calibri" w:cs="Arial"/>
                <w:sz w:val="22"/>
                <w:szCs w:val="22"/>
              </w:rPr>
              <w:t>1er novembre 2013</w:t>
            </w:r>
            <w:r w:rsidRPr="00071EA1">
              <w:rPr>
                <w:rFonts w:ascii="Calibri" w:hAnsi="Calibri" w:cs="Arial"/>
                <w:sz w:val="22"/>
                <w:szCs w:val="22"/>
              </w:rPr>
              <w:t xml:space="preserve"> et cesse de produire ses effets le </w:t>
            </w:r>
            <w:r>
              <w:rPr>
                <w:rFonts w:ascii="Calibri" w:hAnsi="Calibri" w:cs="Arial"/>
                <w:sz w:val="22"/>
                <w:szCs w:val="22"/>
              </w:rPr>
              <w:t>30 juin 2015</w:t>
            </w:r>
            <w:r w:rsidRPr="00071EA1">
              <w:rPr>
                <w:rFonts w:ascii="Calibri" w:hAnsi="Calibri" w:cs="Arial"/>
                <w:sz w:val="22"/>
                <w:szCs w:val="22"/>
              </w:rPr>
              <w:t>.</w:t>
            </w:r>
            <w:r w:rsidR="00777BC0">
              <w:rPr>
                <w:rFonts w:ascii="Calibri" w:hAnsi="Calibri" w:cs="Arial"/>
                <w:sz w:val="22"/>
                <w:szCs w:val="22"/>
              </w:rPr>
              <w:br/>
            </w:r>
          </w:p>
          <w:p w:rsidR="00DD64CD" w:rsidRPr="00071EA1" w:rsidRDefault="00DD64CD" w:rsidP="00DD64CD">
            <w:pPr>
              <w:spacing w:before="120" w:after="120"/>
              <w:rPr>
                <w:rFonts w:ascii="Calibri" w:hAnsi="Calibri" w:cs="Arial"/>
                <w:sz w:val="22"/>
                <w:szCs w:val="22"/>
              </w:rPr>
            </w:pPr>
            <w:r w:rsidRPr="00B009F9">
              <w:rPr>
                <w:rFonts w:asciiTheme="minorHAnsi" w:hAnsiTheme="minorHAnsi"/>
                <w:sz w:val="22"/>
                <w:szCs w:val="22"/>
                <w:lang w:val="fr-FR" w:eastAsia="nl-BE"/>
              </w:rPr>
              <w:t xml:space="preserve">La présente convention collective de travail remplace </w:t>
            </w:r>
            <w:r>
              <w:rPr>
                <w:rFonts w:asciiTheme="minorHAnsi" w:hAnsiTheme="minorHAnsi"/>
                <w:sz w:val="22"/>
                <w:szCs w:val="22"/>
                <w:lang w:val="fr-FR" w:eastAsia="nl-BE"/>
              </w:rPr>
              <w:t xml:space="preserve">la </w:t>
            </w:r>
            <w:r w:rsidRPr="00B009F9">
              <w:rPr>
                <w:rFonts w:asciiTheme="minorHAnsi" w:hAnsiTheme="minorHAnsi"/>
                <w:sz w:val="22"/>
                <w:szCs w:val="22"/>
                <w:lang w:val="fr-FR" w:eastAsia="nl-BE"/>
              </w:rPr>
              <w:t>convention collective de travail</w:t>
            </w:r>
            <w:r>
              <w:rPr>
                <w:rFonts w:asciiTheme="minorHAnsi" w:hAnsiTheme="minorHAnsi"/>
                <w:sz w:val="22"/>
                <w:szCs w:val="22"/>
                <w:lang w:val="fr-FR" w:eastAsia="nl-BE"/>
              </w:rPr>
              <w:t xml:space="preserve"> du 5 juin 2013 concernant la sécurité d’existence</w:t>
            </w:r>
            <w:r w:rsidRPr="00B009F9">
              <w:rPr>
                <w:rFonts w:asciiTheme="minorHAnsi" w:hAnsiTheme="minorHAnsi"/>
                <w:sz w:val="22"/>
                <w:szCs w:val="22"/>
                <w:lang w:val="fr-FR" w:eastAsia="nl-BE"/>
              </w:rPr>
              <w:t xml:space="preserve">, enregistrée sous le numéro </w:t>
            </w:r>
            <w:r w:rsidRPr="00FA1B68">
              <w:rPr>
                <w:rFonts w:asciiTheme="minorHAnsi" w:hAnsiTheme="minorHAnsi"/>
                <w:bCs/>
                <w:sz w:val="22"/>
                <w:szCs w:val="22"/>
                <w:lang w:eastAsia="fr-BE"/>
              </w:rPr>
              <w:t>115882</w:t>
            </w:r>
            <w:r w:rsidRPr="00FA1B68">
              <w:rPr>
                <w:rFonts w:asciiTheme="minorHAnsi" w:hAnsiTheme="minorHAnsi"/>
                <w:sz w:val="22"/>
                <w:szCs w:val="22"/>
                <w:lang w:eastAsia="nl-BE"/>
              </w:rPr>
              <w:t>/CO/119</w:t>
            </w:r>
            <w:r w:rsidRPr="00B009F9">
              <w:rPr>
                <w:rFonts w:asciiTheme="minorHAnsi" w:hAnsiTheme="minorHAnsi"/>
                <w:sz w:val="22"/>
                <w:szCs w:val="22"/>
                <w:lang w:val="fr-FR" w:eastAsia="nl-BE"/>
              </w:rPr>
              <w:t>.</w:t>
            </w:r>
          </w:p>
        </w:tc>
      </w:tr>
    </w:tbl>
    <w:p w:rsidR="00805EC3" w:rsidRPr="00071EA1" w:rsidRDefault="00805EC3" w:rsidP="00CE01BA">
      <w:pPr>
        <w:pStyle w:val="Footer"/>
        <w:widowControl w:val="0"/>
        <w:tabs>
          <w:tab w:val="clear" w:pos="4153"/>
          <w:tab w:val="clear" w:pos="8306"/>
        </w:tabs>
        <w:rPr>
          <w:rFonts w:ascii="Calibri" w:hAnsi="Calibri"/>
          <w:sz w:val="22"/>
          <w:szCs w:val="22"/>
        </w:rPr>
      </w:pPr>
    </w:p>
    <w:sectPr w:rsidR="00805EC3" w:rsidRPr="00071EA1" w:rsidSect="00854DB6">
      <w:footerReference w:type="even" r:id="rId8"/>
      <w:footerReference w:type="default" r:id="rId9"/>
      <w:footerReference w:type="first" r:id="rId10"/>
      <w:type w:val="continuous"/>
      <w:pgSz w:w="11906" w:h="16838" w:code="9"/>
      <w:pgMar w:top="1701" w:right="1418" w:bottom="1701" w:left="1588" w:header="851" w:footer="851"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D13" w:rsidRDefault="00935D13">
      <w:r>
        <w:separator/>
      </w:r>
    </w:p>
  </w:endnote>
  <w:endnote w:type="continuationSeparator" w:id="0">
    <w:p w:rsidR="00935D13" w:rsidRDefault="0093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13" w:rsidRDefault="00935D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5D13" w:rsidRDefault="00935D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13" w:rsidRPr="00071EA1" w:rsidRDefault="00935D13">
    <w:pPr>
      <w:pStyle w:val="Footer"/>
      <w:tabs>
        <w:tab w:val="clear" w:pos="4153"/>
        <w:tab w:val="clear" w:pos="8306"/>
        <w:tab w:val="center" w:pos="4395"/>
        <w:tab w:val="right" w:pos="8789"/>
      </w:tabs>
      <w:ind w:right="-2"/>
      <w:rPr>
        <w:rFonts w:ascii="Calibri" w:hAnsi="Calibri"/>
        <w:sz w:val="14"/>
        <w:szCs w:val="14"/>
      </w:rPr>
    </w:pPr>
    <w:r w:rsidRPr="00071EA1">
      <w:rPr>
        <w:rFonts w:ascii="Calibri" w:hAnsi="Calibri"/>
        <w:sz w:val="14"/>
        <w:szCs w:val="14"/>
      </w:rPr>
      <w:t>PC 119 BESTAANSZEKERHEID</w:t>
    </w:r>
    <w:r w:rsidRPr="00071EA1">
      <w:rPr>
        <w:rFonts w:ascii="Calibri" w:hAnsi="Calibri"/>
        <w:sz w:val="14"/>
        <w:szCs w:val="14"/>
      </w:rPr>
      <w:tab/>
    </w:r>
    <w:r w:rsidRPr="00071EA1">
      <w:rPr>
        <w:rStyle w:val="PageNumber"/>
        <w:rFonts w:ascii="Calibri" w:hAnsi="Calibri"/>
        <w:sz w:val="14"/>
        <w:szCs w:val="14"/>
      </w:rPr>
      <w:fldChar w:fldCharType="begin"/>
    </w:r>
    <w:r w:rsidRPr="00071EA1">
      <w:rPr>
        <w:rStyle w:val="PageNumber"/>
        <w:rFonts w:ascii="Calibri" w:hAnsi="Calibri"/>
        <w:sz w:val="14"/>
        <w:szCs w:val="14"/>
      </w:rPr>
      <w:instrText xml:space="preserve"> PAGE </w:instrText>
    </w:r>
    <w:r w:rsidRPr="00071EA1">
      <w:rPr>
        <w:rStyle w:val="PageNumber"/>
        <w:rFonts w:ascii="Calibri" w:hAnsi="Calibri"/>
        <w:sz w:val="14"/>
        <w:szCs w:val="14"/>
      </w:rPr>
      <w:fldChar w:fldCharType="separate"/>
    </w:r>
    <w:r w:rsidR="006374C6">
      <w:rPr>
        <w:rStyle w:val="PageNumber"/>
        <w:rFonts w:ascii="Calibri" w:hAnsi="Calibri"/>
        <w:noProof/>
        <w:sz w:val="14"/>
        <w:szCs w:val="14"/>
      </w:rPr>
      <w:t>1</w:t>
    </w:r>
    <w:r w:rsidRPr="00071EA1">
      <w:rPr>
        <w:rStyle w:val="PageNumber"/>
        <w:rFonts w:ascii="Calibri" w:hAnsi="Calibri"/>
        <w:sz w:val="14"/>
        <w:szCs w:val="14"/>
      </w:rPr>
      <w:fldChar w:fldCharType="end"/>
    </w:r>
    <w:r w:rsidRPr="00071EA1">
      <w:rPr>
        <w:rStyle w:val="PageNumber"/>
        <w:rFonts w:ascii="Calibri" w:hAnsi="Calibri"/>
        <w:sz w:val="14"/>
        <w:szCs w:val="14"/>
      </w:rPr>
      <w:t>/</w:t>
    </w:r>
    <w:r w:rsidRPr="00071EA1">
      <w:rPr>
        <w:rStyle w:val="PageNumber"/>
        <w:rFonts w:ascii="Calibri" w:hAnsi="Calibri"/>
        <w:sz w:val="14"/>
        <w:szCs w:val="14"/>
      </w:rPr>
      <w:fldChar w:fldCharType="begin"/>
    </w:r>
    <w:r w:rsidRPr="00071EA1">
      <w:rPr>
        <w:rStyle w:val="PageNumber"/>
        <w:rFonts w:ascii="Calibri" w:hAnsi="Calibri"/>
        <w:sz w:val="14"/>
        <w:szCs w:val="14"/>
      </w:rPr>
      <w:instrText xml:space="preserve"> NUMPAGES </w:instrText>
    </w:r>
    <w:r w:rsidRPr="00071EA1">
      <w:rPr>
        <w:rStyle w:val="PageNumber"/>
        <w:rFonts w:ascii="Calibri" w:hAnsi="Calibri"/>
        <w:sz w:val="14"/>
        <w:szCs w:val="14"/>
      </w:rPr>
      <w:fldChar w:fldCharType="separate"/>
    </w:r>
    <w:r w:rsidR="006374C6">
      <w:rPr>
        <w:rStyle w:val="PageNumber"/>
        <w:rFonts w:ascii="Calibri" w:hAnsi="Calibri"/>
        <w:noProof/>
        <w:sz w:val="14"/>
        <w:szCs w:val="14"/>
      </w:rPr>
      <w:t>4</w:t>
    </w:r>
    <w:r w:rsidRPr="00071EA1">
      <w:rPr>
        <w:rStyle w:val="PageNumber"/>
        <w:rFonts w:ascii="Calibri" w:hAnsi="Calibri"/>
        <w:sz w:val="14"/>
        <w:szCs w:val="14"/>
      </w:rPr>
      <w:fldChar w:fldCharType="end"/>
    </w:r>
    <w:r w:rsidRPr="00071EA1">
      <w:rPr>
        <w:rStyle w:val="PageNumber"/>
        <w:rFonts w:ascii="Calibri" w:hAnsi="Calibri"/>
        <w:sz w:val="14"/>
        <w:szCs w:val="14"/>
      </w:rPr>
      <w:tab/>
      <w:t>CP 119 SECURITE D'EXISTENCE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13" w:rsidRDefault="00935D13">
    <w:pPr>
      <w:pStyle w:val="Footer"/>
      <w:tabs>
        <w:tab w:val="clear" w:pos="4153"/>
        <w:tab w:val="clear" w:pos="8306"/>
        <w:tab w:val="center" w:pos="4395"/>
        <w:tab w:val="right" w:pos="8789"/>
      </w:tabs>
      <w:rPr>
        <w:sz w:val="12"/>
      </w:rPr>
    </w:pPr>
    <w:r>
      <w:rPr>
        <w:sz w:val="12"/>
      </w:rPr>
      <w:t>PC 119 BESTAANSZEKERHEID</w:t>
    </w:r>
    <w:r>
      <w:rPr>
        <w:sz w:val="12"/>
      </w:rPr>
      <w:tab/>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1</w:t>
    </w:r>
    <w:r>
      <w:rPr>
        <w:rStyle w:val="PageNumber"/>
        <w:sz w:val="12"/>
      </w:rPr>
      <w:fldChar w:fldCharType="end"/>
    </w:r>
    <w:r>
      <w:rPr>
        <w:rStyle w:val="PageNumber"/>
        <w:sz w:val="12"/>
      </w:rPr>
      <w:t>/</w:t>
    </w:r>
    <w:r>
      <w:rPr>
        <w:rStyle w:val="PageNumber"/>
        <w:sz w:val="12"/>
      </w:rPr>
      <w:fldChar w:fldCharType="begin"/>
    </w:r>
    <w:r>
      <w:rPr>
        <w:rStyle w:val="PageNumber"/>
        <w:sz w:val="12"/>
      </w:rPr>
      <w:instrText xml:space="preserve"> NUMPAGES </w:instrText>
    </w:r>
    <w:r>
      <w:rPr>
        <w:rStyle w:val="PageNumber"/>
        <w:sz w:val="12"/>
      </w:rPr>
      <w:fldChar w:fldCharType="separate"/>
    </w:r>
    <w:r w:rsidR="00300748">
      <w:rPr>
        <w:rStyle w:val="PageNumber"/>
        <w:noProof/>
        <w:sz w:val="12"/>
      </w:rPr>
      <w:t>4</w:t>
    </w:r>
    <w:r>
      <w:rPr>
        <w:rStyle w:val="PageNumber"/>
        <w:sz w:val="12"/>
      </w:rPr>
      <w:fldChar w:fldCharType="end"/>
    </w:r>
    <w:r>
      <w:rPr>
        <w:rStyle w:val="PageNumber"/>
        <w:sz w:val="12"/>
      </w:rPr>
      <w:tab/>
      <w:t>CP 119 SECURITE D'EXISTENCE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D13" w:rsidRDefault="00935D13">
      <w:r>
        <w:separator/>
      </w:r>
    </w:p>
  </w:footnote>
  <w:footnote w:type="continuationSeparator" w:id="0">
    <w:p w:rsidR="00935D13" w:rsidRDefault="00935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3721"/>
    <w:multiLevelType w:val="singleLevel"/>
    <w:tmpl w:val="04090017"/>
    <w:lvl w:ilvl="0">
      <w:start w:val="7"/>
      <w:numFmt w:val="lowerLetter"/>
      <w:lvlText w:val="%1)"/>
      <w:lvlJc w:val="left"/>
      <w:pPr>
        <w:tabs>
          <w:tab w:val="num" w:pos="360"/>
        </w:tabs>
        <w:ind w:left="360" w:hanging="360"/>
      </w:pPr>
      <w:rPr>
        <w:rFonts w:hint="default"/>
      </w:rPr>
    </w:lvl>
  </w:abstractNum>
  <w:abstractNum w:abstractNumId="1">
    <w:nsid w:val="1CDF3F22"/>
    <w:multiLevelType w:val="singleLevel"/>
    <w:tmpl w:val="91CE1AF6"/>
    <w:lvl w:ilvl="0">
      <w:start w:val="5"/>
      <w:numFmt w:val="bullet"/>
      <w:lvlText w:val="-"/>
      <w:lvlJc w:val="left"/>
      <w:pPr>
        <w:tabs>
          <w:tab w:val="num" w:pos="360"/>
        </w:tabs>
        <w:ind w:left="360" w:hanging="360"/>
      </w:pPr>
      <w:rPr>
        <w:rFonts w:ascii="Times New Roman" w:hAnsi="Times New Roman" w:hint="default"/>
      </w:rPr>
    </w:lvl>
  </w:abstractNum>
  <w:abstractNum w:abstractNumId="2">
    <w:nsid w:val="1DF90F86"/>
    <w:multiLevelType w:val="multilevel"/>
    <w:tmpl w:val="7A6012CE"/>
    <w:lvl w:ilvl="0">
      <w:start w:val="1"/>
      <w:numFmt w:val="decimal"/>
      <w:pStyle w:val="Heading1"/>
      <w:lvlText w:val="%1."/>
      <w:lvlJc w:val="left"/>
      <w:pPr>
        <w:tabs>
          <w:tab w:val="num" w:pos="360"/>
        </w:tabs>
        <w:ind w:left="360" w:hanging="360"/>
      </w:pPr>
      <w:rPr>
        <w:rFonts w:hint="default"/>
      </w:rPr>
    </w:lvl>
    <w:lvl w:ilvl="1">
      <w:start w:val="1"/>
      <w:numFmt w:val="decimal"/>
      <w:pStyle w:val="Heading2"/>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24447489"/>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4">
    <w:nsid w:val="25736B2F"/>
    <w:multiLevelType w:val="singleLevel"/>
    <w:tmpl w:val="04090017"/>
    <w:lvl w:ilvl="0">
      <w:start w:val="2"/>
      <w:numFmt w:val="lowerLetter"/>
      <w:lvlText w:val="%1)"/>
      <w:lvlJc w:val="left"/>
      <w:pPr>
        <w:tabs>
          <w:tab w:val="num" w:pos="360"/>
        </w:tabs>
        <w:ind w:left="360" w:hanging="360"/>
      </w:pPr>
      <w:rPr>
        <w:rFonts w:hint="default"/>
      </w:rPr>
    </w:lvl>
  </w:abstractNum>
  <w:abstractNum w:abstractNumId="5">
    <w:nsid w:val="2C526F9A"/>
    <w:multiLevelType w:val="singleLevel"/>
    <w:tmpl w:val="05E6C5C2"/>
    <w:lvl w:ilvl="0">
      <w:start w:val="1"/>
      <w:numFmt w:val="bullet"/>
      <w:lvlText w:val="-"/>
      <w:lvlJc w:val="left"/>
      <w:pPr>
        <w:tabs>
          <w:tab w:val="num" w:pos="360"/>
        </w:tabs>
        <w:ind w:left="360" w:hanging="360"/>
      </w:pPr>
      <w:rPr>
        <w:rFonts w:ascii="Palatino Linotype" w:hAnsi="Georgia" w:hint="default"/>
      </w:rPr>
    </w:lvl>
  </w:abstractNum>
  <w:abstractNum w:abstractNumId="6">
    <w:nsid w:val="2F405439"/>
    <w:multiLevelType w:val="singleLevel"/>
    <w:tmpl w:val="04090017"/>
    <w:lvl w:ilvl="0">
      <w:start w:val="8"/>
      <w:numFmt w:val="lowerLetter"/>
      <w:lvlText w:val="%1)"/>
      <w:lvlJc w:val="left"/>
      <w:pPr>
        <w:tabs>
          <w:tab w:val="num" w:pos="360"/>
        </w:tabs>
        <w:ind w:left="360" w:hanging="360"/>
      </w:pPr>
      <w:rPr>
        <w:rFonts w:hint="default"/>
      </w:rPr>
    </w:lvl>
  </w:abstractNum>
  <w:abstractNum w:abstractNumId="7">
    <w:nsid w:val="2F9F2B8C"/>
    <w:multiLevelType w:val="singleLevel"/>
    <w:tmpl w:val="04090017"/>
    <w:lvl w:ilvl="0">
      <w:start w:val="1"/>
      <w:numFmt w:val="lowerLetter"/>
      <w:lvlText w:val="%1)"/>
      <w:lvlJc w:val="left"/>
      <w:pPr>
        <w:tabs>
          <w:tab w:val="num" w:pos="360"/>
        </w:tabs>
        <w:ind w:left="360" w:hanging="360"/>
      </w:pPr>
    </w:lvl>
  </w:abstractNum>
  <w:abstractNum w:abstractNumId="8">
    <w:nsid w:val="37C7018A"/>
    <w:multiLevelType w:val="singleLevel"/>
    <w:tmpl w:val="05E6C5C2"/>
    <w:lvl w:ilvl="0">
      <w:start w:val="1"/>
      <w:numFmt w:val="bullet"/>
      <w:lvlText w:val="-"/>
      <w:lvlJc w:val="left"/>
      <w:pPr>
        <w:tabs>
          <w:tab w:val="num" w:pos="360"/>
        </w:tabs>
        <w:ind w:left="360" w:hanging="360"/>
      </w:pPr>
      <w:rPr>
        <w:rFonts w:ascii="Palatino Linotype" w:hAnsi="Georgia" w:hint="default"/>
      </w:rPr>
    </w:lvl>
  </w:abstractNum>
  <w:abstractNum w:abstractNumId="9">
    <w:nsid w:val="3AA177C9"/>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3F654A82"/>
    <w:multiLevelType w:val="singleLevel"/>
    <w:tmpl w:val="04090017"/>
    <w:lvl w:ilvl="0">
      <w:start w:val="1"/>
      <w:numFmt w:val="lowerLetter"/>
      <w:lvlText w:val="%1)"/>
      <w:lvlJc w:val="left"/>
      <w:pPr>
        <w:tabs>
          <w:tab w:val="num" w:pos="360"/>
        </w:tabs>
        <w:ind w:left="360" w:hanging="360"/>
      </w:pPr>
    </w:lvl>
  </w:abstractNum>
  <w:abstractNum w:abstractNumId="11">
    <w:nsid w:val="3FF97020"/>
    <w:multiLevelType w:val="singleLevel"/>
    <w:tmpl w:val="73AE65DA"/>
    <w:lvl w:ilvl="0">
      <w:start w:val="1"/>
      <w:numFmt w:val="lowerLetter"/>
      <w:lvlText w:val="%1)"/>
      <w:lvlJc w:val="left"/>
      <w:pPr>
        <w:tabs>
          <w:tab w:val="num" w:pos="405"/>
        </w:tabs>
        <w:ind w:left="405" w:hanging="360"/>
      </w:pPr>
      <w:rPr>
        <w:rFonts w:hint="default"/>
      </w:rPr>
    </w:lvl>
  </w:abstractNum>
  <w:abstractNum w:abstractNumId="12">
    <w:nsid w:val="4099797E"/>
    <w:multiLevelType w:val="singleLevel"/>
    <w:tmpl w:val="472E45A8"/>
    <w:lvl w:ilvl="0">
      <w:start w:val="6"/>
      <w:numFmt w:val="bullet"/>
      <w:lvlText w:val="-"/>
      <w:lvlJc w:val="left"/>
      <w:pPr>
        <w:tabs>
          <w:tab w:val="num" w:pos="1110"/>
        </w:tabs>
        <w:ind w:left="1110" w:hanging="360"/>
      </w:pPr>
      <w:rPr>
        <w:rFonts w:ascii="Times New Roman" w:hAnsi="Times New Roman" w:hint="default"/>
      </w:rPr>
    </w:lvl>
  </w:abstractNum>
  <w:abstractNum w:abstractNumId="13">
    <w:nsid w:val="42947705"/>
    <w:multiLevelType w:val="singleLevel"/>
    <w:tmpl w:val="8E48E84E"/>
    <w:lvl w:ilvl="0">
      <w:start w:val="5"/>
      <w:numFmt w:val="bullet"/>
      <w:lvlText w:val="-"/>
      <w:lvlJc w:val="left"/>
      <w:pPr>
        <w:tabs>
          <w:tab w:val="num" w:pos="360"/>
        </w:tabs>
        <w:ind w:left="360" w:hanging="360"/>
      </w:pPr>
      <w:rPr>
        <w:rFonts w:ascii="Times New Roman" w:hAnsi="Times New Roman" w:hint="default"/>
      </w:rPr>
    </w:lvl>
  </w:abstractNum>
  <w:abstractNum w:abstractNumId="14">
    <w:nsid w:val="4AF316CE"/>
    <w:multiLevelType w:val="singleLevel"/>
    <w:tmpl w:val="04090017"/>
    <w:lvl w:ilvl="0">
      <w:start w:val="5"/>
      <w:numFmt w:val="lowerLetter"/>
      <w:lvlText w:val="%1)"/>
      <w:lvlJc w:val="left"/>
      <w:pPr>
        <w:tabs>
          <w:tab w:val="num" w:pos="360"/>
        </w:tabs>
        <w:ind w:left="360" w:hanging="360"/>
      </w:pPr>
      <w:rPr>
        <w:rFonts w:hint="default"/>
      </w:rPr>
    </w:lvl>
  </w:abstractNum>
  <w:abstractNum w:abstractNumId="15">
    <w:nsid w:val="4BD03E96"/>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nsid w:val="53604021"/>
    <w:multiLevelType w:val="singleLevel"/>
    <w:tmpl w:val="04090017"/>
    <w:lvl w:ilvl="0">
      <w:start w:val="1"/>
      <w:numFmt w:val="lowerLetter"/>
      <w:lvlText w:val="%1)"/>
      <w:lvlJc w:val="left"/>
      <w:pPr>
        <w:tabs>
          <w:tab w:val="num" w:pos="360"/>
        </w:tabs>
        <w:ind w:left="360" w:hanging="360"/>
      </w:pPr>
    </w:lvl>
  </w:abstractNum>
  <w:abstractNum w:abstractNumId="17">
    <w:nsid w:val="53DD0D3F"/>
    <w:multiLevelType w:val="singleLevel"/>
    <w:tmpl w:val="DD2A57FA"/>
    <w:lvl w:ilvl="0">
      <w:start w:val="7"/>
      <w:numFmt w:val="bullet"/>
      <w:lvlText w:val="-"/>
      <w:lvlJc w:val="left"/>
      <w:pPr>
        <w:tabs>
          <w:tab w:val="num" w:pos="360"/>
        </w:tabs>
        <w:ind w:left="360" w:hanging="360"/>
      </w:pPr>
      <w:rPr>
        <w:rFonts w:ascii="Times New Roman" w:hAnsi="Times New Roman" w:hint="default"/>
      </w:rPr>
    </w:lvl>
  </w:abstractNum>
  <w:abstractNum w:abstractNumId="18">
    <w:nsid w:val="56EF532A"/>
    <w:multiLevelType w:val="singleLevel"/>
    <w:tmpl w:val="04090017"/>
    <w:lvl w:ilvl="0">
      <w:start w:val="1"/>
      <w:numFmt w:val="lowerLetter"/>
      <w:lvlText w:val="%1)"/>
      <w:lvlJc w:val="left"/>
      <w:pPr>
        <w:tabs>
          <w:tab w:val="num" w:pos="360"/>
        </w:tabs>
        <w:ind w:left="360" w:hanging="360"/>
      </w:pPr>
    </w:lvl>
  </w:abstractNum>
  <w:abstractNum w:abstractNumId="19">
    <w:nsid w:val="58824E33"/>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nsid w:val="648B05AC"/>
    <w:multiLevelType w:val="singleLevel"/>
    <w:tmpl w:val="04090017"/>
    <w:lvl w:ilvl="0">
      <w:start w:val="1"/>
      <w:numFmt w:val="lowerLetter"/>
      <w:lvlText w:val="%1)"/>
      <w:lvlJc w:val="left"/>
      <w:pPr>
        <w:tabs>
          <w:tab w:val="num" w:pos="360"/>
        </w:tabs>
        <w:ind w:left="360" w:hanging="360"/>
      </w:pPr>
    </w:lvl>
  </w:abstractNum>
  <w:abstractNum w:abstractNumId="21">
    <w:nsid w:val="686D622F"/>
    <w:multiLevelType w:val="singleLevel"/>
    <w:tmpl w:val="04090017"/>
    <w:lvl w:ilvl="0">
      <w:start w:val="1"/>
      <w:numFmt w:val="lowerLetter"/>
      <w:lvlText w:val="%1)"/>
      <w:lvlJc w:val="left"/>
      <w:pPr>
        <w:tabs>
          <w:tab w:val="num" w:pos="360"/>
        </w:tabs>
        <w:ind w:left="360" w:hanging="360"/>
      </w:pPr>
    </w:lvl>
  </w:abstractNum>
  <w:abstractNum w:abstractNumId="22">
    <w:nsid w:val="6BD523F0"/>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2"/>
  </w:num>
  <w:num w:numId="2">
    <w:abstractNumId w:val="2"/>
  </w:num>
  <w:num w:numId="3">
    <w:abstractNumId w:val="2"/>
  </w:num>
  <w:num w:numId="4">
    <w:abstractNumId w:val="2"/>
  </w:num>
  <w:num w:numId="5">
    <w:abstractNumId w:val="7"/>
  </w:num>
  <w:num w:numId="6">
    <w:abstractNumId w:val="5"/>
  </w:num>
  <w:num w:numId="7">
    <w:abstractNumId w:val="8"/>
  </w:num>
  <w:num w:numId="8">
    <w:abstractNumId w:val="17"/>
  </w:num>
  <w:num w:numId="9">
    <w:abstractNumId w:val="9"/>
  </w:num>
  <w:num w:numId="10">
    <w:abstractNumId w:val="4"/>
  </w:num>
  <w:num w:numId="11">
    <w:abstractNumId w:val="14"/>
  </w:num>
  <w:num w:numId="12">
    <w:abstractNumId w:val="0"/>
  </w:num>
  <w:num w:numId="13">
    <w:abstractNumId w:val="6"/>
  </w:num>
  <w:num w:numId="14">
    <w:abstractNumId w:val="12"/>
  </w:num>
  <w:num w:numId="15">
    <w:abstractNumId w:val="13"/>
  </w:num>
  <w:num w:numId="16">
    <w:abstractNumId w:val="11"/>
  </w:num>
  <w:num w:numId="17">
    <w:abstractNumId w:val="22"/>
  </w:num>
  <w:num w:numId="18">
    <w:abstractNumId w:val="21"/>
  </w:num>
  <w:num w:numId="19">
    <w:abstractNumId w:val="1"/>
  </w:num>
  <w:num w:numId="20">
    <w:abstractNumId w:val="19"/>
  </w:num>
  <w:num w:numId="21">
    <w:abstractNumId w:val="15"/>
  </w:num>
  <w:num w:numId="22">
    <w:abstractNumId w:val="16"/>
  </w:num>
  <w:num w:numId="23">
    <w:abstractNumId w:val="20"/>
  </w:num>
  <w:num w:numId="24">
    <w:abstractNumId w:val="18"/>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2D"/>
    <w:rsid w:val="000259EF"/>
    <w:rsid w:val="00035878"/>
    <w:rsid w:val="00071EA1"/>
    <w:rsid w:val="000805FB"/>
    <w:rsid w:val="000824E1"/>
    <w:rsid w:val="00085698"/>
    <w:rsid w:val="00087DEA"/>
    <w:rsid w:val="00095178"/>
    <w:rsid w:val="000F4DDE"/>
    <w:rsid w:val="00106FAE"/>
    <w:rsid w:val="001322F7"/>
    <w:rsid w:val="00146284"/>
    <w:rsid w:val="0019751F"/>
    <w:rsid w:val="001A0ED3"/>
    <w:rsid w:val="001A7DEA"/>
    <w:rsid w:val="001F04B1"/>
    <w:rsid w:val="00207455"/>
    <w:rsid w:val="00221A42"/>
    <w:rsid w:val="00236049"/>
    <w:rsid w:val="0029233E"/>
    <w:rsid w:val="00300748"/>
    <w:rsid w:val="00326D95"/>
    <w:rsid w:val="00362C79"/>
    <w:rsid w:val="003A6495"/>
    <w:rsid w:val="003B60BC"/>
    <w:rsid w:val="003D510D"/>
    <w:rsid w:val="00416EA3"/>
    <w:rsid w:val="00432390"/>
    <w:rsid w:val="0046572C"/>
    <w:rsid w:val="00477B82"/>
    <w:rsid w:val="004B0FD4"/>
    <w:rsid w:val="004F5C29"/>
    <w:rsid w:val="004F730E"/>
    <w:rsid w:val="0052799F"/>
    <w:rsid w:val="00547558"/>
    <w:rsid w:val="00570FB0"/>
    <w:rsid w:val="005A181B"/>
    <w:rsid w:val="005D28FC"/>
    <w:rsid w:val="005D550B"/>
    <w:rsid w:val="005E4CCE"/>
    <w:rsid w:val="0060218E"/>
    <w:rsid w:val="0061749C"/>
    <w:rsid w:val="006374C6"/>
    <w:rsid w:val="00640126"/>
    <w:rsid w:val="00644070"/>
    <w:rsid w:val="006753CB"/>
    <w:rsid w:val="00683A4C"/>
    <w:rsid w:val="00684F6F"/>
    <w:rsid w:val="006940B1"/>
    <w:rsid w:val="0069788D"/>
    <w:rsid w:val="006A47F4"/>
    <w:rsid w:val="006E252B"/>
    <w:rsid w:val="00700B1A"/>
    <w:rsid w:val="00702E6E"/>
    <w:rsid w:val="007332CD"/>
    <w:rsid w:val="007356A3"/>
    <w:rsid w:val="007662BD"/>
    <w:rsid w:val="00777BC0"/>
    <w:rsid w:val="00785D11"/>
    <w:rsid w:val="007A1B2D"/>
    <w:rsid w:val="007D6380"/>
    <w:rsid w:val="007F0065"/>
    <w:rsid w:val="0080027C"/>
    <w:rsid w:val="00805EC3"/>
    <w:rsid w:val="008250D0"/>
    <w:rsid w:val="00840D93"/>
    <w:rsid w:val="00854DB6"/>
    <w:rsid w:val="008E7BCB"/>
    <w:rsid w:val="008F1DBA"/>
    <w:rsid w:val="009067A4"/>
    <w:rsid w:val="009117D4"/>
    <w:rsid w:val="00935D13"/>
    <w:rsid w:val="0094403E"/>
    <w:rsid w:val="00957A61"/>
    <w:rsid w:val="00975A34"/>
    <w:rsid w:val="009B425F"/>
    <w:rsid w:val="00A44A23"/>
    <w:rsid w:val="00A57906"/>
    <w:rsid w:val="00AA12F2"/>
    <w:rsid w:val="00AC287D"/>
    <w:rsid w:val="00B04B24"/>
    <w:rsid w:val="00B0530C"/>
    <w:rsid w:val="00B07BBB"/>
    <w:rsid w:val="00B63521"/>
    <w:rsid w:val="00B843A6"/>
    <w:rsid w:val="00BC65E6"/>
    <w:rsid w:val="00BC7A26"/>
    <w:rsid w:val="00C124F7"/>
    <w:rsid w:val="00C20971"/>
    <w:rsid w:val="00C36434"/>
    <w:rsid w:val="00C37194"/>
    <w:rsid w:val="00C66736"/>
    <w:rsid w:val="00C96F3D"/>
    <w:rsid w:val="00CD299D"/>
    <w:rsid w:val="00CD740C"/>
    <w:rsid w:val="00CE01BA"/>
    <w:rsid w:val="00D46C8C"/>
    <w:rsid w:val="00D567F8"/>
    <w:rsid w:val="00DA3E39"/>
    <w:rsid w:val="00DD64CD"/>
    <w:rsid w:val="00DD7EE4"/>
    <w:rsid w:val="00E2731E"/>
    <w:rsid w:val="00E27CD4"/>
    <w:rsid w:val="00E537FE"/>
    <w:rsid w:val="00E66046"/>
    <w:rsid w:val="00E91F81"/>
    <w:rsid w:val="00EC0F3D"/>
    <w:rsid w:val="00EC5F73"/>
    <w:rsid w:val="00EC6714"/>
    <w:rsid w:val="00EC6B54"/>
    <w:rsid w:val="00ED6A07"/>
    <w:rsid w:val="00F0712F"/>
    <w:rsid w:val="00F15DFE"/>
    <w:rsid w:val="00F16F33"/>
    <w:rsid w:val="00F42BD8"/>
    <w:rsid w:val="00F517A7"/>
    <w:rsid w:val="00F62D50"/>
    <w:rsid w:val="00F74077"/>
    <w:rsid w:val="00FA1B68"/>
    <w:rsid w:val="00FB67AD"/>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299D"/>
    <w:rPr>
      <w:rFonts w:ascii="Palatino Linotype" w:hAnsi="Palatino Linotype"/>
      <w:lang w:eastAsia="en-US"/>
    </w:rPr>
  </w:style>
  <w:style w:type="paragraph" w:styleId="Heading1">
    <w:name w:val="heading 1"/>
    <w:basedOn w:val="Normal"/>
    <w:next w:val="Normal"/>
    <w:qFormat/>
    <w:rsid w:val="00CD299D"/>
    <w:pPr>
      <w:keepNext/>
      <w:numPr>
        <w:numId w:val="3"/>
      </w:numPr>
      <w:spacing w:before="320" w:after="280"/>
      <w:ind w:left="357" w:hanging="357"/>
      <w:outlineLvl w:val="0"/>
    </w:pPr>
    <w:rPr>
      <w:rFonts w:ascii="Palatino" w:hAnsi="Palatino"/>
      <w:b/>
      <w:lang w:val="en-AU"/>
    </w:rPr>
  </w:style>
  <w:style w:type="paragraph" w:styleId="Heading2">
    <w:name w:val="heading 2"/>
    <w:basedOn w:val="Normal"/>
    <w:next w:val="Normal"/>
    <w:qFormat/>
    <w:rsid w:val="00CD299D"/>
    <w:pPr>
      <w:keepNext/>
      <w:numPr>
        <w:ilvl w:val="1"/>
        <w:numId w:val="4"/>
      </w:numPr>
      <w:spacing w:before="320" w:after="280"/>
      <w:ind w:left="357" w:hanging="357"/>
      <w:outlineLvl w:val="1"/>
    </w:pPr>
    <w:rPr>
      <w:rFonts w:ascii="Palatino" w:hAnsi="Palatino"/>
      <w:i/>
      <w:lang w:val="en-AU"/>
    </w:rPr>
  </w:style>
  <w:style w:type="paragraph" w:styleId="Heading3">
    <w:name w:val="heading 3"/>
    <w:basedOn w:val="Normal"/>
    <w:next w:val="Normal"/>
    <w:qFormat/>
    <w:rsid w:val="00CD299D"/>
    <w:pPr>
      <w:keepNext/>
      <w:spacing w:before="240" w:after="60"/>
      <w:outlineLvl w:val="2"/>
    </w:pPr>
    <w:rPr>
      <w:rFonts w:ascii="Arial" w:hAnsi="Arial"/>
      <w:sz w:val="24"/>
    </w:rPr>
  </w:style>
  <w:style w:type="paragraph" w:styleId="Heading4">
    <w:name w:val="heading 4"/>
    <w:basedOn w:val="Normal"/>
    <w:next w:val="Normal"/>
    <w:qFormat/>
    <w:rsid w:val="00CD299D"/>
    <w:pPr>
      <w:keepNext/>
      <w:tabs>
        <w:tab w:val="left" w:pos="345"/>
        <w:tab w:val="left" w:pos="518"/>
        <w:tab w:val="left" w:pos="691"/>
        <w:tab w:val="left" w:pos="864"/>
        <w:tab w:val="left" w:pos="1036"/>
        <w:tab w:val="left" w:pos="1209"/>
        <w:tab w:val="left" w:pos="1382"/>
        <w:tab w:val="left" w:pos="2764"/>
      </w:tabs>
      <w:outlineLvl w:val="3"/>
    </w:pPr>
    <w:rPr>
      <w:rFonts w:ascii="Arial" w:hAnsi="Arial"/>
      <w:b/>
      <w:lang w:val="nl-NL"/>
    </w:rPr>
  </w:style>
  <w:style w:type="paragraph" w:styleId="Heading5">
    <w:name w:val="heading 5"/>
    <w:basedOn w:val="Normal"/>
    <w:next w:val="Normal"/>
    <w:qFormat/>
    <w:rsid w:val="00CD299D"/>
    <w:pPr>
      <w:keepNext/>
      <w:outlineLvl w:val="4"/>
    </w:pPr>
    <w:rPr>
      <w:rFonts w:ascii="Palatino" w:hAnsi="Palatino"/>
      <w:b/>
      <w:lang w:val="nl-NL"/>
    </w:rPr>
  </w:style>
  <w:style w:type="paragraph" w:styleId="Heading6">
    <w:name w:val="heading 6"/>
    <w:basedOn w:val="Normal"/>
    <w:next w:val="Normal"/>
    <w:qFormat/>
    <w:rsid w:val="00CD299D"/>
    <w:pPr>
      <w:keepNext/>
      <w:widowControl w:val="0"/>
      <w:spacing w:before="240" w:after="240"/>
      <w:jc w:val="center"/>
      <w:outlineLvl w:val="5"/>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D299D"/>
    <w:pPr>
      <w:tabs>
        <w:tab w:val="left" w:pos="288"/>
        <w:tab w:val="left" w:pos="460"/>
        <w:tab w:val="left" w:pos="633"/>
        <w:tab w:val="left" w:pos="806"/>
        <w:tab w:val="left" w:pos="979"/>
        <w:tab w:val="left" w:pos="1152"/>
        <w:tab w:val="left" w:pos="2304"/>
        <w:tab w:val="left" w:pos="6336"/>
      </w:tabs>
    </w:pPr>
    <w:rPr>
      <w:rFonts w:ascii="Arial" w:hAnsi="Arial"/>
      <w:b/>
      <w:lang w:val="nl-NL"/>
    </w:rPr>
  </w:style>
  <w:style w:type="paragraph" w:styleId="PlainText">
    <w:name w:val="Plain Text"/>
    <w:basedOn w:val="Normal"/>
    <w:rsid w:val="00CD299D"/>
    <w:rPr>
      <w:rFonts w:ascii="Courier New" w:hAnsi="Courier New"/>
      <w:lang w:val="nl-NL"/>
    </w:rPr>
  </w:style>
  <w:style w:type="paragraph" w:styleId="BodyText2">
    <w:name w:val="Body Text 2"/>
    <w:basedOn w:val="Normal"/>
    <w:rsid w:val="00CD299D"/>
    <w:pPr>
      <w:tabs>
        <w:tab w:val="left" w:pos="35"/>
        <w:tab w:val="left" w:pos="576"/>
        <w:tab w:val="left" w:pos="1267"/>
        <w:tab w:val="left" w:pos="1612"/>
      </w:tabs>
      <w:jc w:val="both"/>
    </w:pPr>
    <w:rPr>
      <w:spacing w:val="-2"/>
    </w:rPr>
  </w:style>
  <w:style w:type="paragraph" w:styleId="BodyText3">
    <w:name w:val="Body Text 3"/>
    <w:basedOn w:val="Normal"/>
    <w:rsid w:val="00CD299D"/>
    <w:pPr>
      <w:tabs>
        <w:tab w:val="left" w:pos="576"/>
        <w:tab w:val="left" w:pos="921"/>
        <w:tab w:val="left" w:pos="1267"/>
        <w:tab w:val="left" w:pos="1612"/>
      </w:tabs>
      <w:jc w:val="both"/>
    </w:pPr>
    <w:rPr>
      <w:b/>
      <w:spacing w:val="-2"/>
    </w:rPr>
  </w:style>
  <w:style w:type="paragraph" w:styleId="BodyTextIndent">
    <w:name w:val="Body Text Indent"/>
    <w:basedOn w:val="Normal"/>
    <w:rsid w:val="00CD299D"/>
    <w:pPr>
      <w:tabs>
        <w:tab w:val="left" w:pos="0"/>
        <w:tab w:val="left" w:pos="284"/>
        <w:tab w:val="left" w:pos="1440"/>
      </w:tabs>
      <w:ind w:left="284" w:hanging="284"/>
    </w:pPr>
    <w:rPr>
      <w:lang w:val="nl-BE"/>
    </w:rPr>
  </w:style>
  <w:style w:type="paragraph" w:styleId="BodyTextIndent2">
    <w:name w:val="Body Text Indent 2"/>
    <w:basedOn w:val="Normal"/>
    <w:rsid w:val="00CD299D"/>
    <w:pPr>
      <w:tabs>
        <w:tab w:val="left" w:pos="177"/>
        <w:tab w:val="left" w:pos="576"/>
        <w:tab w:val="left" w:pos="1267"/>
        <w:tab w:val="left" w:pos="1612"/>
      </w:tabs>
      <w:ind w:left="177" w:hanging="177"/>
      <w:jc w:val="both"/>
    </w:pPr>
    <w:rPr>
      <w:spacing w:val="-2"/>
    </w:rPr>
  </w:style>
  <w:style w:type="paragraph" w:styleId="BodyTextIndent3">
    <w:name w:val="Body Text Indent 3"/>
    <w:basedOn w:val="Normal"/>
    <w:rsid w:val="00CD299D"/>
    <w:pPr>
      <w:tabs>
        <w:tab w:val="left" w:pos="177"/>
        <w:tab w:val="left" w:pos="576"/>
        <w:tab w:val="left" w:pos="1267"/>
        <w:tab w:val="left" w:pos="1612"/>
      </w:tabs>
      <w:ind w:left="177"/>
      <w:jc w:val="both"/>
    </w:pPr>
    <w:rPr>
      <w:spacing w:val="-2"/>
    </w:rPr>
  </w:style>
  <w:style w:type="paragraph" w:customStyle="1" w:styleId="HHOOFDSTUK">
    <w:name w:val="H_HOOFDSTUK"/>
    <w:basedOn w:val="Heading2"/>
    <w:rsid w:val="00CD299D"/>
    <w:pPr>
      <w:widowControl w:val="0"/>
      <w:numPr>
        <w:ilvl w:val="0"/>
        <w:numId w:val="0"/>
      </w:numPr>
      <w:tabs>
        <w:tab w:val="left" w:pos="-1699"/>
        <w:tab w:val="left" w:pos="-1133"/>
        <w:tab w:val="left" w:pos="-566"/>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uppressAutoHyphens/>
      <w:spacing w:before="0" w:after="0"/>
      <w:jc w:val="both"/>
    </w:pPr>
    <w:rPr>
      <w:rFonts w:ascii="Arial" w:hAnsi="Arial"/>
      <w:b/>
      <w:i w:val="0"/>
      <w:snapToGrid w:val="0"/>
      <w:color w:val="FF0000"/>
      <w:spacing w:val="-2"/>
      <w:sz w:val="24"/>
      <w:lang w:val="en-US" w:eastAsia="nl-NL"/>
    </w:rPr>
  </w:style>
  <w:style w:type="paragraph" w:styleId="Footer">
    <w:name w:val="footer"/>
    <w:basedOn w:val="Normal"/>
    <w:rsid w:val="00CD299D"/>
    <w:pPr>
      <w:tabs>
        <w:tab w:val="center" w:pos="4153"/>
        <w:tab w:val="right" w:pos="8306"/>
      </w:tabs>
    </w:pPr>
  </w:style>
  <w:style w:type="character" w:styleId="PageNumber">
    <w:name w:val="page number"/>
    <w:basedOn w:val="DefaultParagraphFont"/>
    <w:rsid w:val="00CD299D"/>
  </w:style>
  <w:style w:type="paragraph" w:styleId="Header">
    <w:name w:val="header"/>
    <w:basedOn w:val="Normal"/>
    <w:link w:val="HeaderChar"/>
    <w:uiPriority w:val="99"/>
    <w:rsid w:val="00CD299D"/>
    <w:pPr>
      <w:tabs>
        <w:tab w:val="center" w:pos="4153"/>
        <w:tab w:val="right" w:pos="8306"/>
      </w:tabs>
    </w:pPr>
  </w:style>
  <w:style w:type="paragraph" w:styleId="BalloonText">
    <w:name w:val="Balloon Text"/>
    <w:basedOn w:val="Normal"/>
    <w:semiHidden/>
    <w:rsid w:val="00E66046"/>
    <w:rPr>
      <w:rFonts w:ascii="Tahoma" w:hAnsi="Tahoma" w:cs="Tahoma"/>
      <w:sz w:val="16"/>
      <w:szCs w:val="16"/>
    </w:rPr>
  </w:style>
  <w:style w:type="character" w:customStyle="1" w:styleId="HeaderChar">
    <w:name w:val="Header Char"/>
    <w:basedOn w:val="DefaultParagraphFont"/>
    <w:link w:val="Header"/>
    <w:uiPriority w:val="99"/>
    <w:rsid w:val="00106FAE"/>
    <w:rPr>
      <w:rFonts w:ascii="Palatino Linotype" w:hAnsi="Palatino Linotyp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299D"/>
    <w:rPr>
      <w:rFonts w:ascii="Palatino Linotype" w:hAnsi="Palatino Linotype"/>
      <w:lang w:eastAsia="en-US"/>
    </w:rPr>
  </w:style>
  <w:style w:type="paragraph" w:styleId="Heading1">
    <w:name w:val="heading 1"/>
    <w:basedOn w:val="Normal"/>
    <w:next w:val="Normal"/>
    <w:qFormat/>
    <w:rsid w:val="00CD299D"/>
    <w:pPr>
      <w:keepNext/>
      <w:numPr>
        <w:numId w:val="3"/>
      </w:numPr>
      <w:spacing w:before="320" w:after="280"/>
      <w:ind w:left="357" w:hanging="357"/>
      <w:outlineLvl w:val="0"/>
    </w:pPr>
    <w:rPr>
      <w:rFonts w:ascii="Palatino" w:hAnsi="Palatino"/>
      <w:b/>
      <w:lang w:val="en-AU"/>
    </w:rPr>
  </w:style>
  <w:style w:type="paragraph" w:styleId="Heading2">
    <w:name w:val="heading 2"/>
    <w:basedOn w:val="Normal"/>
    <w:next w:val="Normal"/>
    <w:qFormat/>
    <w:rsid w:val="00CD299D"/>
    <w:pPr>
      <w:keepNext/>
      <w:numPr>
        <w:ilvl w:val="1"/>
        <w:numId w:val="4"/>
      </w:numPr>
      <w:spacing w:before="320" w:after="280"/>
      <w:ind w:left="357" w:hanging="357"/>
      <w:outlineLvl w:val="1"/>
    </w:pPr>
    <w:rPr>
      <w:rFonts w:ascii="Palatino" w:hAnsi="Palatino"/>
      <w:i/>
      <w:lang w:val="en-AU"/>
    </w:rPr>
  </w:style>
  <w:style w:type="paragraph" w:styleId="Heading3">
    <w:name w:val="heading 3"/>
    <w:basedOn w:val="Normal"/>
    <w:next w:val="Normal"/>
    <w:qFormat/>
    <w:rsid w:val="00CD299D"/>
    <w:pPr>
      <w:keepNext/>
      <w:spacing w:before="240" w:after="60"/>
      <w:outlineLvl w:val="2"/>
    </w:pPr>
    <w:rPr>
      <w:rFonts w:ascii="Arial" w:hAnsi="Arial"/>
      <w:sz w:val="24"/>
    </w:rPr>
  </w:style>
  <w:style w:type="paragraph" w:styleId="Heading4">
    <w:name w:val="heading 4"/>
    <w:basedOn w:val="Normal"/>
    <w:next w:val="Normal"/>
    <w:qFormat/>
    <w:rsid w:val="00CD299D"/>
    <w:pPr>
      <w:keepNext/>
      <w:tabs>
        <w:tab w:val="left" w:pos="345"/>
        <w:tab w:val="left" w:pos="518"/>
        <w:tab w:val="left" w:pos="691"/>
        <w:tab w:val="left" w:pos="864"/>
        <w:tab w:val="left" w:pos="1036"/>
        <w:tab w:val="left" w:pos="1209"/>
        <w:tab w:val="left" w:pos="1382"/>
        <w:tab w:val="left" w:pos="2764"/>
      </w:tabs>
      <w:outlineLvl w:val="3"/>
    </w:pPr>
    <w:rPr>
      <w:rFonts w:ascii="Arial" w:hAnsi="Arial"/>
      <w:b/>
      <w:lang w:val="nl-NL"/>
    </w:rPr>
  </w:style>
  <w:style w:type="paragraph" w:styleId="Heading5">
    <w:name w:val="heading 5"/>
    <w:basedOn w:val="Normal"/>
    <w:next w:val="Normal"/>
    <w:qFormat/>
    <w:rsid w:val="00CD299D"/>
    <w:pPr>
      <w:keepNext/>
      <w:outlineLvl w:val="4"/>
    </w:pPr>
    <w:rPr>
      <w:rFonts w:ascii="Palatino" w:hAnsi="Palatino"/>
      <w:b/>
      <w:lang w:val="nl-NL"/>
    </w:rPr>
  </w:style>
  <w:style w:type="paragraph" w:styleId="Heading6">
    <w:name w:val="heading 6"/>
    <w:basedOn w:val="Normal"/>
    <w:next w:val="Normal"/>
    <w:qFormat/>
    <w:rsid w:val="00CD299D"/>
    <w:pPr>
      <w:keepNext/>
      <w:widowControl w:val="0"/>
      <w:spacing w:before="240" w:after="240"/>
      <w:jc w:val="center"/>
      <w:outlineLvl w:val="5"/>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D299D"/>
    <w:pPr>
      <w:tabs>
        <w:tab w:val="left" w:pos="288"/>
        <w:tab w:val="left" w:pos="460"/>
        <w:tab w:val="left" w:pos="633"/>
        <w:tab w:val="left" w:pos="806"/>
        <w:tab w:val="left" w:pos="979"/>
        <w:tab w:val="left" w:pos="1152"/>
        <w:tab w:val="left" w:pos="2304"/>
        <w:tab w:val="left" w:pos="6336"/>
      </w:tabs>
    </w:pPr>
    <w:rPr>
      <w:rFonts w:ascii="Arial" w:hAnsi="Arial"/>
      <w:b/>
      <w:lang w:val="nl-NL"/>
    </w:rPr>
  </w:style>
  <w:style w:type="paragraph" w:styleId="PlainText">
    <w:name w:val="Plain Text"/>
    <w:basedOn w:val="Normal"/>
    <w:rsid w:val="00CD299D"/>
    <w:rPr>
      <w:rFonts w:ascii="Courier New" w:hAnsi="Courier New"/>
      <w:lang w:val="nl-NL"/>
    </w:rPr>
  </w:style>
  <w:style w:type="paragraph" w:styleId="BodyText2">
    <w:name w:val="Body Text 2"/>
    <w:basedOn w:val="Normal"/>
    <w:rsid w:val="00CD299D"/>
    <w:pPr>
      <w:tabs>
        <w:tab w:val="left" w:pos="35"/>
        <w:tab w:val="left" w:pos="576"/>
        <w:tab w:val="left" w:pos="1267"/>
        <w:tab w:val="left" w:pos="1612"/>
      </w:tabs>
      <w:jc w:val="both"/>
    </w:pPr>
    <w:rPr>
      <w:spacing w:val="-2"/>
    </w:rPr>
  </w:style>
  <w:style w:type="paragraph" w:styleId="BodyText3">
    <w:name w:val="Body Text 3"/>
    <w:basedOn w:val="Normal"/>
    <w:rsid w:val="00CD299D"/>
    <w:pPr>
      <w:tabs>
        <w:tab w:val="left" w:pos="576"/>
        <w:tab w:val="left" w:pos="921"/>
        <w:tab w:val="left" w:pos="1267"/>
        <w:tab w:val="left" w:pos="1612"/>
      </w:tabs>
      <w:jc w:val="both"/>
    </w:pPr>
    <w:rPr>
      <w:b/>
      <w:spacing w:val="-2"/>
    </w:rPr>
  </w:style>
  <w:style w:type="paragraph" w:styleId="BodyTextIndent">
    <w:name w:val="Body Text Indent"/>
    <w:basedOn w:val="Normal"/>
    <w:rsid w:val="00CD299D"/>
    <w:pPr>
      <w:tabs>
        <w:tab w:val="left" w:pos="0"/>
        <w:tab w:val="left" w:pos="284"/>
        <w:tab w:val="left" w:pos="1440"/>
      </w:tabs>
      <w:ind w:left="284" w:hanging="284"/>
    </w:pPr>
    <w:rPr>
      <w:lang w:val="nl-BE"/>
    </w:rPr>
  </w:style>
  <w:style w:type="paragraph" w:styleId="BodyTextIndent2">
    <w:name w:val="Body Text Indent 2"/>
    <w:basedOn w:val="Normal"/>
    <w:rsid w:val="00CD299D"/>
    <w:pPr>
      <w:tabs>
        <w:tab w:val="left" w:pos="177"/>
        <w:tab w:val="left" w:pos="576"/>
        <w:tab w:val="left" w:pos="1267"/>
        <w:tab w:val="left" w:pos="1612"/>
      </w:tabs>
      <w:ind w:left="177" w:hanging="177"/>
      <w:jc w:val="both"/>
    </w:pPr>
    <w:rPr>
      <w:spacing w:val="-2"/>
    </w:rPr>
  </w:style>
  <w:style w:type="paragraph" w:styleId="BodyTextIndent3">
    <w:name w:val="Body Text Indent 3"/>
    <w:basedOn w:val="Normal"/>
    <w:rsid w:val="00CD299D"/>
    <w:pPr>
      <w:tabs>
        <w:tab w:val="left" w:pos="177"/>
        <w:tab w:val="left" w:pos="576"/>
        <w:tab w:val="left" w:pos="1267"/>
        <w:tab w:val="left" w:pos="1612"/>
      </w:tabs>
      <w:ind w:left="177"/>
      <w:jc w:val="both"/>
    </w:pPr>
    <w:rPr>
      <w:spacing w:val="-2"/>
    </w:rPr>
  </w:style>
  <w:style w:type="paragraph" w:customStyle="1" w:styleId="HHOOFDSTUK">
    <w:name w:val="H_HOOFDSTUK"/>
    <w:basedOn w:val="Heading2"/>
    <w:rsid w:val="00CD299D"/>
    <w:pPr>
      <w:widowControl w:val="0"/>
      <w:numPr>
        <w:ilvl w:val="0"/>
        <w:numId w:val="0"/>
      </w:numPr>
      <w:tabs>
        <w:tab w:val="left" w:pos="-1699"/>
        <w:tab w:val="left" w:pos="-1133"/>
        <w:tab w:val="left" w:pos="-566"/>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uppressAutoHyphens/>
      <w:spacing w:before="0" w:after="0"/>
      <w:jc w:val="both"/>
    </w:pPr>
    <w:rPr>
      <w:rFonts w:ascii="Arial" w:hAnsi="Arial"/>
      <w:b/>
      <w:i w:val="0"/>
      <w:snapToGrid w:val="0"/>
      <w:color w:val="FF0000"/>
      <w:spacing w:val="-2"/>
      <w:sz w:val="24"/>
      <w:lang w:val="en-US" w:eastAsia="nl-NL"/>
    </w:rPr>
  </w:style>
  <w:style w:type="paragraph" w:styleId="Footer">
    <w:name w:val="footer"/>
    <w:basedOn w:val="Normal"/>
    <w:rsid w:val="00CD299D"/>
    <w:pPr>
      <w:tabs>
        <w:tab w:val="center" w:pos="4153"/>
        <w:tab w:val="right" w:pos="8306"/>
      </w:tabs>
    </w:pPr>
  </w:style>
  <w:style w:type="character" w:styleId="PageNumber">
    <w:name w:val="page number"/>
    <w:basedOn w:val="DefaultParagraphFont"/>
    <w:rsid w:val="00CD299D"/>
  </w:style>
  <w:style w:type="paragraph" w:styleId="Header">
    <w:name w:val="header"/>
    <w:basedOn w:val="Normal"/>
    <w:link w:val="HeaderChar"/>
    <w:uiPriority w:val="99"/>
    <w:rsid w:val="00CD299D"/>
    <w:pPr>
      <w:tabs>
        <w:tab w:val="center" w:pos="4153"/>
        <w:tab w:val="right" w:pos="8306"/>
      </w:tabs>
    </w:pPr>
  </w:style>
  <w:style w:type="paragraph" w:styleId="BalloonText">
    <w:name w:val="Balloon Text"/>
    <w:basedOn w:val="Normal"/>
    <w:semiHidden/>
    <w:rsid w:val="00E66046"/>
    <w:rPr>
      <w:rFonts w:ascii="Tahoma" w:hAnsi="Tahoma" w:cs="Tahoma"/>
      <w:sz w:val="16"/>
      <w:szCs w:val="16"/>
    </w:rPr>
  </w:style>
  <w:style w:type="character" w:customStyle="1" w:styleId="HeaderChar">
    <w:name w:val="Header Char"/>
    <w:basedOn w:val="DefaultParagraphFont"/>
    <w:link w:val="Header"/>
    <w:uiPriority w:val="99"/>
    <w:rsid w:val="00106FAE"/>
    <w:rPr>
      <w:rFonts w:ascii="Palatino Linotype" w:hAnsi="Palatino Linotyp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583974">
      <w:bodyDiv w:val="1"/>
      <w:marLeft w:val="0"/>
      <w:marRight w:val="0"/>
      <w:marTop w:val="0"/>
      <w:marBottom w:val="0"/>
      <w:divBdr>
        <w:top w:val="none" w:sz="0" w:space="0" w:color="auto"/>
        <w:left w:val="none" w:sz="0" w:space="0" w:color="auto"/>
        <w:bottom w:val="none" w:sz="0" w:space="0" w:color="auto"/>
        <w:right w:val="none" w:sz="0" w:space="0" w:color="auto"/>
      </w:divBdr>
    </w:div>
    <w:div w:id="12704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COLLECTIEVE ARBEIDSOVEREENKOMST VAN … 2002 BETREFFENDE DE ARBEIDSDUUR</vt:lpstr>
    </vt:vector>
  </TitlesOfParts>
  <Company>FEDIS</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COLLECTIEVE ARBEIDSOVEREENKOMST VAN … 2002 BETREFFENDE DE ARBEIDSDUUR</dc:title>
  <dc:creator>Thierry Vermeire</dc:creator>
  <cp:lastModifiedBy>Marina Vanden Bosch</cp:lastModifiedBy>
  <cp:revision>2</cp:revision>
  <cp:lastPrinted>2014-01-31T10:59:00Z</cp:lastPrinted>
  <dcterms:created xsi:type="dcterms:W3CDTF">2014-04-08T09:22:00Z</dcterms:created>
  <dcterms:modified xsi:type="dcterms:W3CDTF">2014-04-08T09:22:00Z</dcterms:modified>
</cp:coreProperties>
</file>